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156F1" w14:textId="28F68B76" w:rsidR="005D65E9" w:rsidRDefault="005D65E9">
      <w:pPr>
        <w:spacing w:after="0"/>
        <w:ind w:left="36" w:hanging="1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14:paraId="21C6F27D" w14:textId="17A3C13F" w:rsidR="005D65E9" w:rsidRDefault="005D65E9" w:rsidP="00725C9B">
      <w:pPr>
        <w:spacing w:after="0"/>
        <w:ind w:left="36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0494D4" wp14:editId="1EF16469">
            <wp:simplePos x="0" y="0"/>
            <wp:positionH relativeFrom="page">
              <wp:align>center</wp:align>
            </wp:positionH>
            <wp:positionV relativeFrom="paragraph">
              <wp:posOffset>8626</wp:posOffset>
            </wp:positionV>
            <wp:extent cx="1990342" cy="961280"/>
            <wp:effectExtent l="0" t="0" r="0" b="0"/>
            <wp:wrapSquare wrapText="bothSides"/>
            <wp:docPr id="2" name="Picture 2" descr="MDE Logo red and blue lettering with navy graduation ca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E Logo red and blue lettering with navy graduation cap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342" cy="96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B11397" w14:textId="77777777" w:rsidR="00A9704C" w:rsidRDefault="00A9704C" w:rsidP="00725C9B">
      <w:pPr>
        <w:tabs>
          <w:tab w:val="left" w:pos="1454"/>
          <w:tab w:val="center" w:pos="5200"/>
        </w:tabs>
        <w:spacing w:after="0"/>
        <w:ind w:left="36" w:hanging="10"/>
        <w:jc w:val="center"/>
        <w:rPr>
          <w:rFonts w:ascii="Arial" w:eastAsia="Times New Roman" w:hAnsi="Arial" w:cs="Arial"/>
          <w:b/>
          <w:color w:val="auto"/>
          <w:sz w:val="28"/>
          <w:szCs w:val="28"/>
        </w:rPr>
      </w:pPr>
    </w:p>
    <w:p w14:paraId="57328472" w14:textId="77777777" w:rsidR="00A9704C" w:rsidRDefault="00A9704C" w:rsidP="00725C9B">
      <w:pPr>
        <w:tabs>
          <w:tab w:val="left" w:pos="1454"/>
          <w:tab w:val="center" w:pos="5200"/>
        </w:tabs>
        <w:spacing w:after="0"/>
        <w:ind w:left="36" w:hanging="10"/>
        <w:jc w:val="center"/>
        <w:rPr>
          <w:rFonts w:ascii="Arial" w:eastAsia="Times New Roman" w:hAnsi="Arial" w:cs="Arial"/>
          <w:b/>
          <w:color w:val="auto"/>
          <w:sz w:val="28"/>
          <w:szCs w:val="28"/>
        </w:rPr>
      </w:pPr>
    </w:p>
    <w:p w14:paraId="246B87D7" w14:textId="77777777" w:rsidR="00A9704C" w:rsidRDefault="00A9704C" w:rsidP="00725C9B">
      <w:pPr>
        <w:tabs>
          <w:tab w:val="left" w:pos="1454"/>
          <w:tab w:val="center" w:pos="5200"/>
        </w:tabs>
        <w:spacing w:after="0"/>
        <w:ind w:left="36" w:hanging="10"/>
        <w:jc w:val="center"/>
        <w:rPr>
          <w:rFonts w:ascii="Arial" w:eastAsia="Times New Roman" w:hAnsi="Arial" w:cs="Arial"/>
          <w:b/>
          <w:color w:val="auto"/>
          <w:sz w:val="28"/>
          <w:szCs w:val="28"/>
        </w:rPr>
      </w:pPr>
    </w:p>
    <w:p w14:paraId="5B06B16F" w14:textId="77777777" w:rsidR="00A9704C" w:rsidRDefault="00A9704C" w:rsidP="00725C9B">
      <w:pPr>
        <w:tabs>
          <w:tab w:val="left" w:pos="1454"/>
          <w:tab w:val="center" w:pos="5200"/>
        </w:tabs>
        <w:spacing w:after="0"/>
        <w:ind w:left="36" w:hanging="10"/>
        <w:jc w:val="center"/>
        <w:rPr>
          <w:rFonts w:ascii="Arial" w:eastAsia="Times New Roman" w:hAnsi="Arial" w:cs="Arial"/>
          <w:b/>
          <w:color w:val="auto"/>
          <w:sz w:val="28"/>
          <w:szCs w:val="28"/>
        </w:rPr>
      </w:pPr>
    </w:p>
    <w:p w14:paraId="4AEE3EF0" w14:textId="5C1146BF" w:rsidR="005972B0" w:rsidRDefault="005D5CE9" w:rsidP="00725C9B">
      <w:pPr>
        <w:tabs>
          <w:tab w:val="left" w:pos="1454"/>
          <w:tab w:val="center" w:pos="5200"/>
        </w:tabs>
        <w:spacing w:after="0"/>
        <w:ind w:left="36" w:hanging="10"/>
        <w:jc w:val="center"/>
        <w:rPr>
          <w:rFonts w:ascii="Arial" w:eastAsia="Times New Roman" w:hAnsi="Arial" w:cs="Arial"/>
          <w:b/>
          <w:color w:val="auto"/>
          <w:sz w:val="28"/>
          <w:szCs w:val="28"/>
        </w:rPr>
      </w:pPr>
      <w:r>
        <w:rPr>
          <w:rFonts w:ascii="Arial" w:eastAsia="Times New Roman" w:hAnsi="Arial" w:cs="Arial"/>
          <w:b/>
          <w:color w:val="auto"/>
          <w:sz w:val="28"/>
          <w:szCs w:val="28"/>
        </w:rPr>
        <w:t>EXHIBIT</w:t>
      </w:r>
      <w:r w:rsidR="005972B0">
        <w:rPr>
          <w:rFonts w:ascii="Arial" w:eastAsia="Times New Roman" w:hAnsi="Arial" w:cs="Arial"/>
          <w:b/>
          <w:color w:val="auto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color w:val="auto"/>
          <w:sz w:val="28"/>
          <w:szCs w:val="28"/>
        </w:rPr>
        <w:t>E</w:t>
      </w:r>
    </w:p>
    <w:p w14:paraId="3043E7EC" w14:textId="2E4FEAC4" w:rsidR="005D65E9" w:rsidRDefault="005D65E9">
      <w:pPr>
        <w:spacing w:after="0"/>
        <w:ind w:left="36" w:hanging="10"/>
        <w:jc w:val="center"/>
        <w:rPr>
          <w:rFonts w:ascii="Arial" w:eastAsia="Times New Roman" w:hAnsi="Arial" w:cs="Arial"/>
          <w:b/>
          <w:color w:val="auto"/>
          <w:sz w:val="28"/>
          <w:szCs w:val="28"/>
        </w:rPr>
      </w:pPr>
      <w:r w:rsidRPr="005D65E9">
        <w:rPr>
          <w:rFonts w:ascii="Arial" w:eastAsia="Times New Roman" w:hAnsi="Arial" w:cs="Arial"/>
          <w:b/>
          <w:color w:val="auto"/>
          <w:sz w:val="28"/>
          <w:szCs w:val="28"/>
        </w:rPr>
        <w:t>Acknowledg</w:t>
      </w:r>
      <w:r w:rsidR="00C4578E">
        <w:rPr>
          <w:rFonts w:ascii="Arial" w:eastAsia="Times New Roman" w:hAnsi="Arial" w:cs="Arial"/>
          <w:b/>
          <w:color w:val="auto"/>
          <w:sz w:val="28"/>
          <w:szCs w:val="28"/>
        </w:rPr>
        <w:t>ment</w:t>
      </w:r>
      <w:r w:rsidRPr="005D65E9">
        <w:rPr>
          <w:rFonts w:ascii="Arial" w:eastAsia="Times New Roman" w:hAnsi="Arial" w:cs="Arial"/>
          <w:b/>
          <w:color w:val="auto"/>
          <w:sz w:val="28"/>
          <w:szCs w:val="28"/>
        </w:rPr>
        <w:t xml:space="preserve"> of Amendments</w:t>
      </w:r>
    </w:p>
    <w:p w14:paraId="17F606D0" w14:textId="45D5035C" w:rsidR="006B4C53" w:rsidRPr="001D5E02" w:rsidRDefault="00F138D7">
      <w:pPr>
        <w:spacing w:after="0"/>
        <w:ind w:left="36" w:hanging="10"/>
        <w:jc w:val="center"/>
        <w:rPr>
          <w:rFonts w:ascii="Arial" w:hAnsi="Arial" w:cs="Arial"/>
          <w:i/>
          <w:iCs/>
          <w:color w:val="auto"/>
        </w:rPr>
      </w:pPr>
      <w:r>
        <w:rPr>
          <w:rFonts w:ascii="Arial" w:eastAsia="Times New Roman" w:hAnsi="Arial" w:cs="Arial"/>
          <w:b/>
          <w:i/>
          <w:iCs/>
          <w:color w:val="auto"/>
        </w:rPr>
        <w:t xml:space="preserve">Request for Information (Q&amp;A) </w:t>
      </w:r>
    </w:p>
    <w:p w14:paraId="695ACE2F" w14:textId="5874C72B" w:rsidR="006B4C53" w:rsidRPr="00F92040" w:rsidRDefault="02BE0BF0" w:rsidP="67392D9C">
      <w:pPr>
        <w:spacing w:after="7"/>
        <w:ind w:left="195"/>
        <w:jc w:val="center"/>
        <w:rPr>
          <w:rFonts w:ascii="Arial" w:eastAsia="Times New Roman" w:hAnsi="Arial" w:cs="Arial"/>
          <w:b/>
          <w:bCs/>
          <w:color w:val="auto"/>
        </w:rPr>
      </w:pPr>
      <w:r w:rsidRPr="00F92040">
        <w:rPr>
          <w:rFonts w:ascii="Arial" w:eastAsia="Times New Roman" w:hAnsi="Arial" w:cs="Arial"/>
          <w:b/>
          <w:bCs/>
          <w:color w:val="auto"/>
        </w:rPr>
        <w:t xml:space="preserve">RFP for </w:t>
      </w:r>
      <w:r w:rsidR="60374A30" w:rsidRPr="00F92040">
        <w:rPr>
          <w:rFonts w:ascii="Arial" w:eastAsia="Times New Roman" w:hAnsi="Arial" w:cs="Arial"/>
          <w:b/>
          <w:bCs/>
          <w:color w:val="auto"/>
        </w:rPr>
        <w:t>Whole Child Developmental Kindergarten Readiness Assessment Screener (WCDKRAS)</w:t>
      </w:r>
    </w:p>
    <w:p w14:paraId="4C0C4DB5" w14:textId="77777777" w:rsidR="00A9704C" w:rsidRDefault="00A9704C">
      <w:pPr>
        <w:spacing w:after="5"/>
        <w:ind w:left="195"/>
        <w:jc w:val="center"/>
        <w:rPr>
          <w:rFonts w:ascii="Arial" w:eastAsia="Times New Roman" w:hAnsi="Arial" w:cs="Arial"/>
          <w:b/>
          <w:bCs/>
        </w:rPr>
      </w:pPr>
    </w:p>
    <w:p w14:paraId="5BA4C301" w14:textId="6405C2BA" w:rsidR="006B4C53" w:rsidRPr="005D65E9" w:rsidRDefault="1C2F6CC2">
      <w:pPr>
        <w:spacing w:after="5"/>
        <w:ind w:left="195"/>
        <w:jc w:val="center"/>
        <w:rPr>
          <w:rFonts w:ascii="Arial" w:hAnsi="Arial" w:cs="Arial"/>
        </w:rPr>
      </w:pPr>
      <w:r w:rsidRPr="67392D9C">
        <w:rPr>
          <w:rFonts w:ascii="Arial" w:eastAsia="Times New Roman" w:hAnsi="Arial" w:cs="Arial"/>
          <w:b/>
          <w:bCs/>
        </w:rPr>
        <w:t>Office of Early Childhood Education</w:t>
      </w:r>
      <w:r w:rsidR="00DB658B" w:rsidRPr="67392D9C">
        <w:rPr>
          <w:rFonts w:ascii="Arial" w:eastAsia="Times New Roman" w:hAnsi="Arial" w:cs="Arial"/>
          <w:b/>
          <w:bCs/>
        </w:rPr>
        <w:t xml:space="preserve"> </w:t>
      </w:r>
      <w:r w:rsidR="00DB658B" w:rsidRPr="67392D9C">
        <w:rPr>
          <w:rFonts w:ascii="Arial" w:hAnsi="Arial" w:cs="Arial"/>
        </w:rPr>
        <w:t xml:space="preserve"> </w:t>
      </w:r>
    </w:p>
    <w:p w14:paraId="5AD9E6B6" w14:textId="5F57CA82" w:rsidR="006B4C53" w:rsidRPr="005D65E9" w:rsidRDefault="00DB658B">
      <w:pPr>
        <w:spacing w:after="0"/>
        <w:ind w:left="6"/>
        <w:jc w:val="center"/>
        <w:rPr>
          <w:rFonts w:ascii="Arial" w:hAnsi="Arial" w:cs="Arial"/>
        </w:rPr>
      </w:pPr>
      <w:r w:rsidRPr="67392D9C">
        <w:rPr>
          <w:rFonts w:ascii="Arial" w:eastAsia="Times New Roman" w:hAnsi="Arial" w:cs="Arial"/>
          <w:b/>
          <w:bCs/>
        </w:rPr>
        <w:t xml:space="preserve">Amendment Number </w:t>
      </w:r>
      <w:r w:rsidR="7E919D80" w:rsidRPr="67392D9C">
        <w:rPr>
          <w:rFonts w:ascii="Arial" w:eastAsia="Times New Roman" w:hAnsi="Arial" w:cs="Arial"/>
          <w:b/>
          <w:bCs/>
        </w:rPr>
        <w:t xml:space="preserve">One </w:t>
      </w:r>
      <w:r w:rsidR="00725C9B" w:rsidRPr="00F92040">
        <w:rPr>
          <w:rFonts w:ascii="Arial" w:eastAsia="Times New Roman" w:hAnsi="Arial" w:cs="Arial"/>
          <w:b/>
          <w:bCs/>
          <w:color w:val="auto"/>
        </w:rPr>
        <w:t>#</w:t>
      </w:r>
      <w:r w:rsidR="519A4343" w:rsidRPr="00F92040">
        <w:rPr>
          <w:rFonts w:ascii="Arial" w:eastAsia="Times New Roman" w:hAnsi="Arial" w:cs="Arial"/>
          <w:b/>
          <w:bCs/>
          <w:color w:val="auto"/>
        </w:rPr>
        <w:t>1</w:t>
      </w:r>
    </w:p>
    <w:p w14:paraId="3D7B8812" w14:textId="78EED6E9" w:rsidR="006B4C53" w:rsidRPr="00F92040" w:rsidRDefault="6DE0E5D6" w:rsidP="67392D9C">
      <w:pPr>
        <w:spacing w:after="0"/>
        <w:ind w:left="36" w:right="22" w:hanging="10"/>
        <w:jc w:val="center"/>
        <w:rPr>
          <w:rFonts w:ascii="Arial" w:eastAsia="Times New Roman" w:hAnsi="Arial" w:cs="Arial"/>
          <w:b/>
          <w:bCs/>
          <w:color w:val="auto"/>
        </w:rPr>
      </w:pPr>
      <w:r w:rsidRPr="00F92040">
        <w:rPr>
          <w:rFonts w:ascii="Arial" w:eastAsia="Times New Roman" w:hAnsi="Arial" w:cs="Arial"/>
          <w:b/>
          <w:bCs/>
          <w:color w:val="auto"/>
        </w:rPr>
        <w:t>July 18, 2025</w:t>
      </w:r>
    </w:p>
    <w:p w14:paraId="784771B8" w14:textId="41305205" w:rsidR="67392D9C" w:rsidRDefault="67392D9C" w:rsidP="67392D9C">
      <w:pPr>
        <w:spacing w:after="0"/>
        <w:jc w:val="center"/>
      </w:pPr>
    </w:p>
    <w:p w14:paraId="7011B242" w14:textId="320B03E3" w:rsidR="7F1A11B6" w:rsidRDefault="7F1A11B6" w:rsidP="67392D9C">
      <w:pPr>
        <w:spacing w:after="0"/>
      </w:pPr>
      <w:r w:rsidRPr="67392D9C">
        <w:t>The Request for Proposal released June 25, 2025, is amended to provide a response to questions and answers made available to each vendor.</w:t>
      </w:r>
    </w:p>
    <w:p w14:paraId="3AE1B4FA" w14:textId="01547E48" w:rsidR="7F1A11B6" w:rsidRDefault="7F1A11B6" w:rsidP="67392D9C">
      <w:pPr>
        <w:spacing w:after="0"/>
        <w:jc w:val="center"/>
      </w:pPr>
      <w:r w:rsidRPr="67392D9C"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8"/>
        <w:gridCol w:w="2021"/>
        <w:gridCol w:w="1288"/>
        <w:gridCol w:w="5997"/>
      </w:tblGrid>
      <w:tr w:rsidR="67392D9C" w14:paraId="14E05D76" w14:textId="77777777" w:rsidTr="00527F7F">
        <w:trPr>
          <w:trHeight w:val="615"/>
        </w:trPr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422B57" w14:textId="0822FD35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1)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DAEA32" w14:textId="6AE24734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Section III.</w:t>
            </w:r>
          </w:p>
          <w:p w14:paraId="35CBF15A" w14:textId="0D719589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E. Workflow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102A3D" w14:textId="6018D03B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Pgs. 12–13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1908217" w14:textId="2FFFA030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Can the MDE provide additional context and an example of the workflow the Department wants to see from vendor responses? </w:t>
            </w:r>
          </w:p>
          <w:p w14:paraId="1BD8D573" w14:textId="61CD80C6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70C0"/>
                <w:sz w:val="24"/>
                <w:szCs w:val="24"/>
              </w:rPr>
              <w:t xml:space="preserve">For example, the solution needs to have </w:t>
            </w:r>
            <w:proofErr w:type="gramStart"/>
            <w:r w:rsidRPr="67392D9C">
              <w:rPr>
                <w:rFonts w:ascii="Aptos" w:eastAsia="Aptos" w:hAnsi="Aptos" w:cs="Aptos"/>
                <w:color w:val="0070C0"/>
                <w:sz w:val="24"/>
                <w:szCs w:val="24"/>
              </w:rPr>
              <w:t>stop-gaps</w:t>
            </w:r>
            <w:proofErr w:type="gramEnd"/>
            <w:r w:rsidRPr="67392D9C">
              <w:rPr>
                <w:rFonts w:ascii="Aptos" w:eastAsia="Aptos" w:hAnsi="Aptos" w:cs="Aptos"/>
                <w:color w:val="0070C0"/>
                <w:sz w:val="24"/>
                <w:szCs w:val="24"/>
              </w:rPr>
              <w:t xml:space="preserve"> to ensure necessary information is entered, such as a student’s birth date or a response to a mandatory question.</w:t>
            </w:r>
          </w:p>
        </w:tc>
      </w:tr>
      <w:tr w:rsidR="67392D9C" w14:paraId="2F893B2C" w14:textId="77777777" w:rsidTr="67392D9C">
        <w:trPr>
          <w:trHeight w:val="300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0DAEB" w14:textId="0B75AD44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2)  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02821" w14:textId="05A1A503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GENERAL OVERVIEW AND BACKGROUND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BC6B8" w14:textId="5A75F22E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5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75A2E" w14:textId="75B5F7DD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Is this opportunity a replacement for the contract that resulted from the MS 2019 RFP entitled “Mississippi Comprehensive Early Learning Assessment/ Screener”? Is there an incumbent provider? </w:t>
            </w:r>
          </w:p>
          <w:p w14:paraId="266AF9CC" w14:textId="76153B58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</w:t>
            </w:r>
            <w:r w:rsidRPr="67392D9C">
              <w:rPr>
                <w:rFonts w:ascii="Aptos" w:eastAsia="Aptos" w:hAnsi="Aptos" w:cs="Aptos"/>
                <w:color w:val="0070C0"/>
                <w:sz w:val="24"/>
                <w:szCs w:val="24"/>
              </w:rPr>
              <w:t>Yes, this is an opportunity for the replacement of the MS 2019 RFP Mississippi Comprehensive Early Learning Assessment/ Screener.</w:t>
            </w:r>
          </w:p>
          <w:p w14:paraId="27A1F64A" w14:textId="3DBFFBA5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70C0"/>
                <w:sz w:val="24"/>
                <w:szCs w:val="24"/>
              </w:rPr>
              <w:t>There is a company that is currently providing the service.</w:t>
            </w:r>
          </w:p>
        </w:tc>
      </w:tr>
      <w:tr w:rsidR="67392D9C" w14:paraId="7860AB86" w14:textId="77777777" w:rsidTr="67392D9C">
        <w:trPr>
          <w:trHeight w:val="300"/>
        </w:trPr>
        <w:tc>
          <w:tcPr>
            <w:tcW w:w="7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89920" w14:textId="55B9D233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3) </w:t>
            </w:r>
          </w:p>
        </w:tc>
        <w:tc>
          <w:tcPr>
            <w:tcW w:w="2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EB65C" w14:textId="79AB3776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2.13 Multiple awards 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8F6F6" w14:textId="46DA2ADA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5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A3B9B" w14:textId="78E13D65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Does the State anticipate a single award or multiple awards?  </w:t>
            </w:r>
            <w:r w:rsidRPr="67392D9C">
              <w:rPr>
                <w:rFonts w:ascii="Aptos" w:eastAsia="Aptos" w:hAnsi="Aptos" w:cs="Aptos"/>
                <w:color w:val="0070C0"/>
                <w:sz w:val="24"/>
                <w:szCs w:val="24"/>
              </w:rPr>
              <w:t>This will be a single award.</w:t>
            </w:r>
          </w:p>
        </w:tc>
      </w:tr>
      <w:tr w:rsidR="67392D9C" w14:paraId="1D388696" w14:textId="77777777" w:rsidTr="67392D9C">
        <w:trPr>
          <w:trHeight w:val="900"/>
        </w:trPr>
        <w:tc>
          <w:tcPr>
            <w:tcW w:w="77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EFFFF8" w14:textId="77777777" w:rsidR="00BD442E" w:rsidRDefault="00BD442E"/>
        </w:tc>
        <w:tc>
          <w:tcPr>
            <w:tcW w:w="2021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072AA9" w14:textId="77777777" w:rsidR="00BD442E" w:rsidRDefault="00BD442E"/>
        </w:tc>
        <w:tc>
          <w:tcPr>
            <w:tcW w:w="128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185293" w14:textId="77777777" w:rsidR="00BD442E" w:rsidRDefault="00BD442E"/>
        </w:tc>
        <w:tc>
          <w:tcPr>
            <w:tcW w:w="5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76017" w14:textId="2F7B03F1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Will the resultant contract be for a single, cohesive, statewide initiative, or will districts have an individual imperative to establish usage?</w:t>
            </w:r>
            <w:r w:rsidRPr="67392D9C">
              <w:rPr>
                <w:rFonts w:ascii="Aptos" w:eastAsia="Aptos" w:hAnsi="Aptos" w:cs="Aptos"/>
                <w:color w:val="0070C0"/>
                <w:sz w:val="24"/>
                <w:szCs w:val="24"/>
              </w:rPr>
              <w:t xml:space="preserve">  The state reserves the right to make multiple awards, but MDE plans to award one contract for statewide usage for all districts, collaboratives, and state invested prekindergarten.</w:t>
            </w:r>
          </w:p>
        </w:tc>
      </w:tr>
      <w:tr w:rsidR="67392D9C" w14:paraId="15626CE1" w14:textId="77777777" w:rsidTr="67392D9C">
        <w:trPr>
          <w:trHeight w:val="300"/>
        </w:trPr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5CF7F" w14:textId="5706A6C5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lastRenderedPageBreak/>
              <w:t xml:space="preserve">4) 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4134A" w14:textId="09829DE0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F. Reports and Dashboards   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5D698" w14:textId="77C43500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13 </w:t>
            </w:r>
          </w:p>
        </w:tc>
        <w:tc>
          <w:tcPr>
            <w:tcW w:w="5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D081C" w14:textId="18B500DD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Will each district have individual accounts under this contract? Please define the state’s understanding of account structure. </w:t>
            </w:r>
            <w:r w:rsidRPr="67392D9C">
              <w:rPr>
                <w:rFonts w:ascii="Aptos" w:eastAsia="Aptos" w:hAnsi="Aptos" w:cs="Aptos"/>
                <w:color w:val="0070C0"/>
                <w:sz w:val="24"/>
                <w:szCs w:val="24"/>
              </w:rPr>
              <w:t>Each school district, collaborative or state invested prekindergarten should have access to a log-in for their district and teachers</w:t>
            </w:r>
            <w:r w:rsidRPr="67392D9C">
              <w:rPr>
                <w:rFonts w:ascii="Aptos" w:eastAsia="Aptos" w:hAnsi="Aptos" w:cs="Aptos"/>
                <w:b/>
                <w:bCs/>
                <w:color w:val="0070C0"/>
                <w:sz w:val="24"/>
                <w:szCs w:val="24"/>
              </w:rPr>
              <w:t xml:space="preserve">. </w:t>
            </w:r>
          </w:p>
          <w:p w14:paraId="215F3F9C" w14:textId="7A7D9380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State</w:t>
            </w:r>
          </w:p>
          <w:p w14:paraId="57629EEE" w14:textId="31D1820E" w:rsidR="67392D9C" w:rsidRDefault="67392D9C" w:rsidP="67392D9C">
            <w:pPr>
              <w:pStyle w:val="ListParagraph"/>
              <w:numPr>
                <w:ilvl w:val="0"/>
                <w:numId w:val="1"/>
              </w:numPr>
              <w:spacing w:after="0"/>
              <w:ind w:left="318"/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District/ELC/SIP</w:t>
            </w:r>
          </w:p>
          <w:p w14:paraId="2F888CD1" w14:textId="1099FBDB" w:rsidR="67392D9C" w:rsidRDefault="67392D9C" w:rsidP="67392D9C">
            <w:pPr>
              <w:pStyle w:val="ListParagraph"/>
              <w:numPr>
                <w:ilvl w:val="0"/>
                <w:numId w:val="1"/>
              </w:numPr>
              <w:spacing w:after="0"/>
              <w:ind w:left="490"/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Site level location</w:t>
            </w:r>
          </w:p>
          <w:p w14:paraId="5E135F1D" w14:textId="6EAC0245" w:rsidR="67392D9C" w:rsidRDefault="67392D9C" w:rsidP="67392D9C">
            <w:pPr>
              <w:pStyle w:val="ListParagraph"/>
              <w:numPr>
                <w:ilvl w:val="0"/>
                <w:numId w:val="1"/>
              </w:numPr>
              <w:spacing w:after="0"/>
              <w:ind w:left="850"/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Teacher</w:t>
            </w:r>
          </w:p>
          <w:p w14:paraId="23F29C54" w14:textId="4A35B0E0" w:rsidR="67392D9C" w:rsidRDefault="67392D9C" w:rsidP="67392D9C">
            <w:pPr>
              <w:pStyle w:val="ListParagraph"/>
              <w:numPr>
                <w:ilvl w:val="0"/>
                <w:numId w:val="1"/>
              </w:numPr>
              <w:spacing w:after="0"/>
              <w:ind w:left="1210"/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Students </w:t>
            </w:r>
          </w:p>
        </w:tc>
      </w:tr>
      <w:tr w:rsidR="67392D9C" w14:paraId="12A19A36" w14:textId="77777777" w:rsidTr="67392D9C">
        <w:trPr>
          <w:trHeight w:val="300"/>
        </w:trPr>
        <w:tc>
          <w:tcPr>
            <w:tcW w:w="77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A2EE1" w14:textId="77777777" w:rsidR="00BD442E" w:rsidRDefault="00BD442E"/>
        </w:tc>
        <w:tc>
          <w:tcPr>
            <w:tcW w:w="2021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D9CCAB" w14:textId="77777777" w:rsidR="00BD442E" w:rsidRDefault="00BD442E"/>
        </w:tc>
        <w:tc>
          <w:tcPr>
            <w:tcW w:w="128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0EF01E" w14:textId="77777777" w:rsidR="00BD442E" w:rsidRDefault="00BD442E"/>
        </w:tc>
        <w:tc>
          <w:tcPr>
            <w:tcW w:w="5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24D67" w14:textId="26DAABD9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Will each district be responsible for coordaining data with the MDE if each district has an individual account? </w:t>
            </w:r>
            <w:r w:rsidRPr="67392D9C">
              <w:rPr>
                <w:rFonts w:ascii="Aptos" w:eastAsia="Aptos" w:hAnsi="Aptos" w:cs="Aptos"/>
                <w:color w:val="0070C0"/>
                <w:sz w:val="24"/>
                <w:szCs w:val="24"/>
              </w:rPr>
              <w:t xml:space="preserve">The solution should be able to configure data for each district in the system.  </w:t>
            </w:r>
          </w:p>
        </w:tc>
      </w:tr>
      <w:tr w:rsidR="67392D9C" w14:paraId="3EAF6D73" w14:textId="77777777" w:rsidTr="67392D9C">
        <w:trPr>
          <w:trHeight w:val="300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7310A" w14:textId="6B4F1702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5) 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0350C" w14:textId="6DDCCEF0" w:rsidR="67392D9C" w:rsidRDefault="67392D9C" w:rsidP="67392D9C">
            <w:pPr>
              <w:spacing w:after="0"/>
            </w:pPr>
            <w:proofErr w:type="gramStart"/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6.1  Manner</w:t>
            </w:r>
            <w:proofErr w:type="gramEnd"/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of Submission </w:t>
            </w:r>
          </w:p>
          <w:p w14:paraId="2E4826DE" w14:textId="7717C74F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ADE40" w14:textId="71D513FB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28 </w:t>
            </w:r>
          </w:p>
        </w:tc>
        <w:tc>
          <w:tcPr>
            <w:tcW w:w="5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216A2" w14:textId="6EADAD2D" w:rsidR="67392D9C" w:rsidRDefault="67392D9C" w:rsidP="67392D9C">
            <w:pPr>
              <w:spacing w:after="0"/>
            </w:pPr>
            <w:r w:rsidRPr="00A9704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Does the MDE’s portal have a maximum file size that it can accept?</w:t>
            </w:r>
          </w:p>
          <w:p w14:paraId="3682013C" w14:textId="043F83BB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70C0"/>
                <w:sz w:val="24"/>
                <w:szCs w:val="24"/>
              </w:rPr>
              <w:t>100 MB</w:t>
            </w:r>
          </w:p>
        </w:tc>
      </w:tr>
      <w:tr w:rsidR="67392D9C" w14:paraId="374EB337" w14:textId="77777777" w:rsidTr="67392D9C">
        <w:trPr>
          <w:trHeight w:val="300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A1C6F" w14:textId="7D855A4D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6) 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2AD3F" w14:textId="25F46293" w:rsidR="67392D9C" w:rsidRDefault="67392D9C" w:rsidP="67392D9C">
            <w:pPr>
              <w:spacing w:after="0"/>
            </w:pPr>
            <w:proofErr w:type="gramStart"/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6.1  Manner</w:t>
            </w:r>
            <w:proofErr w:type="gramEnd"/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of Submission </w:t>
            </w:r>
          </w:p>
          <w:p w14:paraId="44B69D7B" w14:textId="133F35B0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C573C" w14:textId="535CEE58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29 </w:t>
            </w:r>
          </w:p>
        </w:tc>
        <w:tc>
          <w:tcPr>
            <w:tcW w:w="5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087C5" w14:textId="30577C6C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</w:t>
            </w:r>
          </w:p>
          <w:p w14:paraId="321F3E72" w14:textId="6FB9A0F7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Please clarify where MDE prefers vendors to include Exceptions Exhibit B: Tab 5 or Tab 6? </w:t>
            </w:r>
          </w:p>
          <w:p w14:paraId="0DE50003" w14:textId="15D74F36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70C0"/>
                <w:sz w:val="24"/>
                <w:szCs w:val="24"/>
              </w:rPr>
              <w:t>Exceptions for Standards Terms and conditions-Tab 5</w:t>
            </w:r>
          </w:p>
          <w:p w14:paraId="7C6B5558" w14:textId="4A092426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70C0"/>
                <w:sz w:val="24"/>
                <w:szCs w:val="24"/>
              </w:rPr>
              <w:t>Exceptions for Assurances and Certifications – Tab 6</w:t>
            </w:r>
          </w:p>
          <w:p w14:paraId="767FB20E" w14:textId="512298F6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67392D9C" w14:paraId="576808BD" w14:textId="77777777" w:rsidTr="67392D9C">
        <w:trPr>
          <w:trHeight w:val="300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94B53" w14:textId="6FF155C7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7) 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1DA35" w14:textId="18430F86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 M. Training   </w:t>
            </w:r>
          </w:p>
          <w:p w14:paraId="62075B24" w14:textId="546836A3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474F7" w14:textId="4FBEF13A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16 </w:t>
            </w:r>
          </w:p>
        </w:tc>
        <w:tc>
          <w:tcPr>
            <w:tcW w:w="5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15339" w14:textId="0B52BC4D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These statements appear to conflict.  </w:t>
            </w:r>
            <w:r>
              <w:br/>
            </w: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 </w:t>
            </w:r>
            <w:r>
              <w:br/>
            </w: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" The Offeror must provide a train-the-trainer session to the MDE. This session </w:t>
            </w:r>
            <w:r w:rsidRPr="67392D9C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  <w:t>may be delivered either onsite or as Web-based training</w:t>
            </w: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.” </w:t>
            </w:r>
            <w:r>
              <w:br/>
            </w: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 </w:t>
            </w:r>
          </w:p>
          <w:p w14:paraId="1C07C5A2" w14:textId="10B31BDE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“The Offeror must have the ability to provide up to 32 hours of </w:t>
            </w:r>
            <w:r w:rsidRPr="67392D9C">
              <w:rPr>
                <w:rFonts w:ascii="Aptos" w:eastAsia="Aptos" w:hAnsi="Aptos" w:cs="Aptos"/>
                <w:b/>
                <w:bCs/>
                <w:color w:val="000000" w:themeColor="text1"/>
                <w:sz w:val="24"/>
                <w:szCs w:val="24"/>
              </w:rPr>
              <w:t xml:space="preserve">onsite </w:t>
            </w: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training for the initial implementation.” </w:t>
            </w:r>
            <w:r>
              <w:br/>
            </w: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 </w:t>
            </w:r>
            <w:r>
              <w:br/>
            </w: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Please clarify: is onsite training required or optional?  </w:t>
            </w:r>
          </w:p>
          <w:p w14:paraId="4012A1FD" w14:textId="29BD7592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If onsite training is optional, does MDE wish for vendors to present costs for virtual training, onsite training, or both? </w:t>
            </w:r>
          </w:p>
          <w:p w14:paraId="51AAF8D1" w14:textId="725D3DA3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70C0"/>
                <w:sz w:val="24"/>
                <w:szCs w:val="24"/>
              </w:rPr>
              <w:t xml:space="preserve">The vendor must provide both onsite and web-based training. Initial implementation requires up to 32 hours of onsite training. </w:t>
            </w:r>
          </w:p>
        </w:tc>
      </w:tr>
      <w:tr w:rsidR="67392D9C" w14:paraId="326929A5" w14:textId="77777777" w:rsidTr="67392D9C">
        <w:trPr>
          <w:trHeight w:val="300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FE1EE" w14:textId="4F42071A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8) 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EB2C0" w14:textId="460C6886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FERPA/20 Data Security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BBAF8" w14:textId="598B5D89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55-56 </w:t>
            </w:r>
          </w:p>
        </w:tc>
        <w:tc>
          <w:tcPr>
            <w:tcW w:w="5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6B14A" w14:textId="5395E869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For the required third-party security audit, does the MDE maintain a list of preferred or pre-approved audit firms?   </w:t>
            </w:r>
            <w:r w:rsidRPr="67392D9C">
              <w:rPr>
                <w:rFonts w:ascii="Aptos" w:eastAsia="Aptos" w:hAnsi="Aptos" w:cs="Aptos"/>
                <w:color w:val="0070C0"/>
                <w:sz w:val="24"/>
                <w:szCs w:val="24"/>
              </w:rPr>
              <w:t>No</w:t>
            </w:r>
          </w:p>
        </w:tc>
      </w:tr>
      <w:tr w:rsidR="67392D9C" w14:paraId="1098E3EC" w14:textId="77777777" w:rsidTr="67392D9C">
        <w:trPr>
          <w:trHeight w:val="300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F306B" w14:textId="2E3E909A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lastRenderedPageBreak/>
              <w:t xml:space="preserve">9) 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5B116" w14:textId="5E864A54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General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4A2F2" w14:textId="50208935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General </w:t>
            </w:r>
          </w:p>
        </w:tc>
        <w:tc>
          <w:tcPr>
            <w:tcW w:w="5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83030" w14:textId="6602A1DC" w:rsidR="67392D9C" w:rsidRDefault="67392D9C" w:rsidP="67392D9C">
            <w:pPr>
              <w:spacing w:after="0"/>
            </w:pPr>
            <w:r w:rsidRPr="00A9704C">
              <w:rPr>
                <w:rFonts w:ascii="Aptos" w:eastAsia="Aptos" w:hAnsi="Aptos" w:cs="Aptos"/>
                <w:color w:val="auto"/>
                <w:sz w:val="24"/>
                <w:szCs w:val="24"/>
              </w:rPr>
              <w:t>While no formal diversity goals are stated, does the MDE have any preferences or aspirational goals for the inclusion of Mississippi-based small businesses or certified diverse businesses as subcontractors?</w:t>
            </w: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</w:t>
            </w:r>
            <w:r w:rsidRPr="005205F5">
              <w:rPr>
                <w:rFonts w:ascii="Aptos" w:eastAsia="Aptos" w:hAnsi="Aptos" w:cs="Aptos"/>
                <w:color w:val="0070C0"/>
                <w:sz w:val="24"/>
                <w:szCs w:val="24"/>
              </w:rPr>
              <w:t>The MDE welcomes responses and participation from all offerors as well as subcontractors.</w:t>
            </w:r>
          </w:p>
        </w:tc>
      </w:tr>
      <w:tr w:rsidR="67392D9C" w14:paraId="428E59C1" w14:textId="77777777" w:rsidTr="67392D9C">
        <w:trPr>
          <w:trHeight w:val="300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7A480" w14:textId="5C275F0F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10) 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26370" w14:textId="58ECF69E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Approval of Subcontractor Required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6F495" w14:textId="5D7CF36D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23 </w:t>
            </w:r>
          </w:p>
        </w:tc>
        <w:tc>
          <w:tcPr>
            <w:tcW w:w="5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98662" w14:textId="59E479DA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Regarding Section 5.15, what is the anticipated timeline and process for receiving the required "written approval" for a subcontractor after the contract is awarded?</w:t>
            </w:r>
            <w:r w:rsidR="00F9204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</w:t>
            </w:r>
            <w:r w:rsidR="00F92040" w:rsidRPr="005205F5">
              <w:rPr>
                <w:rFonts w:ascii="Aptos" w:eastAsia="Aptos" w:hAnsi="Aptos" w:cs="Aptos"/>
                <w:color w:val="0070C0"/>
                <w:sz w:val="24"/>
                <w:szCs w:val="24"/>
              </w:rPr>
              <w:t>Offerors must submit a written request for approval for any proposed subcontractors. The MDE will review the request to ensure alignment with contract requirements and overall project goals</w:t>
            </w:r>
            <w:r w:rsidR="00CC1D1E" w:rsidRPr="005205F5">
              <w:rPr>
                <w:rFonts w:ascii="Aptos" w:eastAsia="Aptos" w:hAnsi="Aptos" w:cs="Aptos"/>
                <w:color w:val="0070C0"/>
                <w:sz w:val="24"/>
                <w:szCs w:val="24"/>
              </w:rPr>
              <w:t xml:space="preserve"> within a reasonable timeframe</w:t>
            </w:r>
            <w:r w:rsidR="00F92040" w:rsidRPr="005205F5">
              <w:rPr>
                <w:rFonts w:ascii="Aptos" w:eastAsia="Aptos" w:hAnsi="Aptos" w:cs="Aptos"/>
                <w:color w:val="0070C0"/>
                <w:sz w:val="24"/>
                <w:szCs w:val="24"/>
              </w:rPr>
              <w:t>. T</w:t>
            </w:r>
            <w:r w:rsidRPr="005205F5">
              <w:rPr>
                <w:rFonts w:ascii="Aptos" w:eastAsia="Aptos" w:hAnsi="Aptos" w:cs="Aptos"/>
                <w:color w:val="0070C0"/>
                <w:sz w:val="24"/>
                <w:szCs w:val="24"/>
              </w:rPr>
              <w:t xml:space="preserve">imelines may vary </w:t>
            </w:r>
            <w:r w:rsidR="00F92040" w:rsidRPr="005205F5">
              <w:rPr>
                <w:rFonts w:ascii="Aptos" w:eastAsia="Aptos" w:hAnsi="Aptos" w:cs="Aptos"/>
                <w:color w:val="0070C0"/>
                <w:sz w:val="24"/>
                <w:szCs w:val="24"/>
              </w:rPr>
              <w:t>depending on the request and the subcontractor’s role for the project</w:t>
            </w:r>
            <w:r w:rsidR="00CC1D1E" w:rsidRPr="005205F5">
              <w:rPr>
                <w:rFonts w:ascii="Aptos" w:eastAsia="Aptos" w:hAnsi="Aptos" w:cs="Aptos"/>
                <w:color w:val="0070C0"/>
                <w:sz w:val="24"/>
                <w:szCs w:val="24"/>
              </w:rPr>
              <w:t xml:space="preserve"> and will be addressed during the contract negotiations phase.</w:t>
            </w:r>
          </w:p>
        </w:tc>
      </w:tr>
      <w:tr w:rsidR="67392D9C" w14:paraId="144D268D" w14:textId="77777777" w:rsidTr="67392D9C">
        <w:trPr>
          <w:trHeight w:val="300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DCB0A" w14:textId="0896A04E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11) 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02CCB" w14:textId="4CF9B693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C. User Interface and User Experience 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847CE" w14:textId="6AB3D5C8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12 </w:t>
            </w:r>
          </w:p>
        </w:tc>
        <w:tc>
          <w:tcPr>
            <w:tcW w:w="5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FB6D2" w14:textId="024354F1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Can the MDE clarify if the "by hand" scoring option requires a fully parallel paper-based test (PBT) administration, or simply a method for teachers to manually enter observational data into the electronic system?   </w:t>
            </w:r>
            <w:r w:rsidRPr="67392D9C">
              <w:rPr>
                <w:rFonts w:ascii="Aptos" w:eastAsia="Aptos" w:hAnsi="Aptos" w:cs="Aptos"/>
                <w:color w:val="0070C0"/>
                <w:sz w:val="24"/>
                <w:szCs w:val="24"/>
              </w:rPr>
              <w:t>The “by hand” scoring method allows teachers to capture assessment/screener results on paper and then allows the teacher to enter observational data into the electronic system and to keep record if system is down temporarily</w:t>
            </w: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.</w:t>
            </w:r>
          </w:p>
        </w:tc>
      </w:tr>
      <w:tr w:rsidR="67392D9C" w14:paraId="13D20D8A" w14:textId="77777777" w:rsidTr="67392D9C">
        <w:trPr>
          <w:trHeight w:val="300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D11B5" w14:textId="4AE28B0F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12) 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D7351" w14:textId="0CFE009E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Budget Summary Form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2C5CB" w14:textId="75C716F5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48 </w:t>
            </w:r>
          </w:p>
        </w:tc>
        <w:tc>
          <w:tcPr>
            <w:tcW w:w="5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CC4D9" w14:textId="630FE7E1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The budget summary requests costs for "500 classrooms" and "17,000 students." Are these the projected numbers for Year 1 of the contract or the total anticipated over the five-year term?  </w:t>
            </w:r>
            <w:r w:rsidRPr="67392D9C">
              <w:rPr>
                <w:rFonts w:ascii="Aptos" w:eastAsia="Aptos" w:hAnsi="Aptos" w:cs="Aptos"/>
                <w:color w:val="0070C0"/>
                <w:sz w:val="24"/>
                <w:szCs w:val="24"/>
              </w:rPr>
              <w:t>These are projected totals for each year of the five-year term.</w:t>
            </w:r>
          </w:p>
        </w:tc>
      </w:tr>
      <w:tr w:rsidR="67392D9C" w14:paraId="08413620" w14:textId="77777777" w:rsidTr="67392D9C">
        <w:trPr>
          <w:trHeight w:val="300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FC64F" w14:textId="316BDE8A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13) 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7ADA6" w14:textId="2D52C967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Web Access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4D099" w14:textId="225FDDCB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  12-13/Cost Details 48 </w:t>
            </w:r>
          </w:p>
        </w:tc>
        <w:tc>
          <w:tcPr>
            <w:tcW w:w="5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43B0C" w14:textId="5763C1AE" w:rsidR="67392D9C" w:rsidRDefault="67392D9C" w:rsidP="67392D9C">
            <w:pPr>
              <w:spacing w:after="0"/>
              <w:rPr>
                <w:rFonts w:ascii="Aptos" w:eastAsia="Aptos" w:hAnsi="Aptos" w:cs="Aptos"/>
                <w:color w:val="0070C0"/>
                <w:sz w:val="24"/>
                <w:szCs w:val="24"/>
              </w:rPr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The RFP states that the solution must be web-accessible and have mobile </w:t>
            </w:r>
            <w:proofErr w:type="gramStart"/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apps, but</w:t>
            </w:r>
            <w:proofErr w:type="gramEnd"/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also allow for scoring to be completed "by hand," which implies a paper-based component or option. Is paper required and if so what are the expected quantities?   </w:t>
            </w:r>
            <w:r w:rsidR="5A9465B5" w:rsidRPr="67392D9C">
              <w:rPr>
                <w:rFonts w:ascii="Aptos" w:eastAsia="Aptos" w:hAnsi="Aptos" w:cs="Aptos"/>
                <w:color w:val="0070C0"/>
                <w:sz w:val="24"/>
                <w:szCs w:val="24"/>
              </w:rPr>
              <w:t>The quantity need</w:t>
            </w:r>
            <w:r w:rsidRPr="67392D9C">
              <w:rPr>
                <w:rFonts w:ascii="Aptos" w:eastAsia="Aptos" w:hAnsi="Aptos" w:cs="Aptos"/>
                <w:color w:val="0070C0"/>
                <w:sz w:val="24"/>
                <w:szCs w:val="24"/>
              </w:rPr>
              <w:t>ed would be to cover up to 500 classrooms and 17,000 students.</w:t>
            </w:r>
          </w:p>
          <w:p w14:paraId="02043682" w14:textId="112612CB" w:rsidR="67392D9C" w:rsidRDefault="67392D9C" w:rsidP="67392D9C">
            <w:pPr>
              <w:spacing w:after="0"/>
            </w:pP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    a. Also see Year 2-Year 5 Cost Details (example could include additional scoring books, online scoring accounts, etc. Please be specific </w:t>
            </w:r>
            <w:proofErr w:type="gramStart"/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for</w:t>
            </w:r>
            <w:proofErr w:type="gramEnd"/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either classroom cost or students’ costs, etc.)  </w:t>
            </w:r>
            <w:r>
              <w:br/>
            </w:r>
            <w:r w:rsidRPr="67392D9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lastRenderedPageBreak/>
              <w:t xml:space="preserve">  Does MDE have a desired count for additional scoring books?  </w:t>
            </w:r>
            <w:r w:rsidRPr="67392D9C">
              <w:rPr>
                <w:rFonts w:ascii="Aptos" w:eastAsia="Aptos" w:hAnsi="Aptos" w:cs="Aptos"/>
                <w:color w:val="0070C0"/>
                <w:sz w:val="24"/>
                <w:szCs w:val="24"/>
              </w:rPr>
              <w:t xml:space="preserve">No   </w:t>
            </w:r>
          </w:p>
        </w:tc>
      </w:tr>
    </w:tbl>
    <w:p w14:paraId="59777E92" w14:textId="609ECC3C" w:rsidR="67392D9C" w:rsidRDefault="67392D9C" w:rsidP="67392D9C">
      <w:pPr>
        <w:spacing w:after="0"/>
        <w:ind w:left="36" w:right="22" w:hanging="10"/>
        <w:jc w:val="center"/>
        <w:rPr>
          <w:rFonts w:ascii="Arial" w:eastAsia="Times New Roman" w:hAnsi="Arial" w:cs="Arial"/>
          <w:b/>
          <w:bCs/>
          <w:color w:val="FF0000"/>
        </w:rPr>
      </w:pPr>
    </w:p>
    <w:p w14:paraId="17FD105C" w14:textId="3BEC9F0E" w:rsidR="67392D9C" w:rsidRDefault="67392D9C" w:rsidP="67392D9C">
      <w:pPr>
        <w:spacing w:after="0"/>
        <w:ind w:left="14" w:right="22"/>
        <w:rPr>
          <w:rFonts w:ascii="Arial" w:eastAsia="Times New Roman" w:hAnsi="Arial" w:cs="Arial"/>
          <w:b/>
          <w:bCs/>
          <w:color w:val="000000" w:themeColor="text1"/>
        </w:rPr>
      </w:pPr>
    </w:p>
    <w:p w14:paraId="2E511189" w14:textId="794502CA" w:rsidR="006B4C53" w:rsidRPr="005D65E9" w:rsidRDefault="00DB658B" w:rsidP="67392D9C">
      <w:pPr>
        <w:spacing w:after="14"/>
        <w:ind w:left="14"/>
        <w:rPr>
          <w:rFonts w:ascii="Arial" w:hAnsi="Arial" w:cs="Arial"/>
          <w:highlight w:val="yellow"/>
        </w:rPr>
      </w:pPr>
      <w:r w:rsidRPr="67392D9C">
        <w:rPr>
          <w:rFonts w:ascii="Arial" w:eastAsia="Times New Roman" w:hAnsi="Arial" w:cs="Arial"/>
          <w:b/>
          <w:bCs/>
        </w:rPr>
        <w:t xml:space="preserve"> </w:t>
      </w:r>
      <w:r w:rsidRPr="67392D9C">
        <w:rPr>
          <w:rFonts w:ascii="Arial" w:hAnsi="Arial" w:cs="Arial"/>
        </w:rPr>
        <w:t xml:space="preserve"> </w:t>
      </w:r>
    </w:p>
    <w:p w14:paraId="1797EF35" w14:textId="146ADF4D" w:rsidR="67392D9C" w:rsidRDefault="67392D9C" w:rsidP="67392D9C">
      <w:pPr>
        <w:spacing w:after="14"/>
        <w:ind w:left="14"/>
        <w:rPr>
          <w:rFonts w:ascii="Arial" w:hAnsi="Arial" w:cs="Arial"/>
        </w:rPr>
      </w:pPr>
    </w:p>
    <w:p w14:paraId="1B399F7B" w14:textId="72015F5F" w:rsidR="006B4C53" w:rsidRPr="005D65E9" w:rsidRDefault="006B4C53" w:rsidP="005D65E9">
      <w:pPr>
        <w:spacing w:after="0"/>
        <w:ind w:left="134"/>
        <w:rPr>
          <w:rFonts w:ascii="Arial" w:hAnsi="Arial" w:cs="Arial"/>
        </w:rPr>
      </w:pPr>
    </w:p>
    <w:p w14:paraId="3B8A98E8" w14:textId="3B4B6FBF" w:rsidR="0026385F" w:rsidRDefault="0026385F" w:rsidP="67392D9C">
      <w:pPr>
        <w:pStyle w:val="Heading2"/>
        <w:rPr>
          <w:rFonts w:ascii="Arial" w:hAnsi="Arial" w:cs="Arial"/>
          <w:color w:val="FF0000"/>
        </w:rPr>
      </w:pPr>
    </w:p>
    <w:p w14:paraId="18D06D4C" w14:textId="77777777" w:rsidR="00A609BF" w:rsidRDefault="00A609BF" w:rsidP="004B212E">
      <w:pPr>
        <w:pStyle w:val="Heading2"/>
        <w:ind w:left="9"/>
        <w:rPr>
          <w:rFonts w:ascii="Arial" w:hAnsi="Arial" w:cs="Arial"/>
          <w:sz w:val="22"/>
        </w:rPr>
      </w:pPr>
    </w:p>
    <w:p w14:paraId="203A5F7C" w14:textId="351410C5" w:rsidR="006B4C53" w:rsidRPr="00881B04" w:rsidRDefault="00DB658B" w:rsidP="004B212E">
      <w:pPr>
        <w:pStyle w:val="Heading2"/>
        <w:ind w:left="9"/>
        <w:rPr>
          <w:rFonts w:ascii="Arial" w:hAnsi="Arial" w:cs="Arial"/>
          <w:b/>
          <w:bCs/>
        </w:rPr>
      </w:pPr>
      <w:r w:rsidRPr="00881B04">
        <w:rPr>
          <w:rFonts w:ascii="Arial" w:hAnsi="Arial" w:cs="Arial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5A57BD" wp14:editId="61E4E40C">
                <wp:simplePos x="0" y="0"/>
                <wp:positionH relativeFrom="column">
                  <wp:posOffset>-10667</wp:posOffset>
                </wp:positionH>
                <wp:positionV relativeFrom="paragraph">
                  <wp:posOffset>-41122</wp:posOffset>
                </wp:positionV>
                <wp:extent cx="6610363" cy="55880"/>
                <wp:effectExtent l="0" t="0" r="0" b="0"/>
                <wp:wrapNone/>
                <wp:docPr id="1382" name="Group 1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63" cy="55880"/>
                          <a:chOff x="0" y="0"/>
                          <a:chExt cx="6610363" cy="55880"/>
                        </a:xfrm>
                      </wpg:grpSpPr>
                      <wps:wsp>
                        <wps:cNvPr id="1741" name="Shape 1741"/>
                        <wps:cNvSpPr/>
                        <wps:spPr>
                          <a:xfrm>
                            <a:off x="0" y="0"/>
                            <a:ext cx="6610350" cy="3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350" h="37757">
                                <a:moveTo>
                                  <a:pt x="0" y="0"/>
                                </a:moveTo>
                                <a:lnTo>
                                  <a:pt x="6610350" y="0"/>
                                </a:lnTo>
                                <a:lnTo>
                                  <a:pt x="6610350" y="37757"/>
                                </a:lnTo>
                                <a:lnTo>
                                  <a:pt x="0" y="377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3A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0" y="46813"/>
                            <a:ext cx="66103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363" h="9144">
                                <a:moveTo>
                                  <a:pt x="0" y="0"/>
                                </a:moveTo>
                                <a:lnTo>
                                  <a:pt x="6610363" y="0"/>
                                </a:lnTo>
                                <a:lnTo>
                                  <a:pt x="66103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3A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F195A68">
              <v:group id="Group 1382" style="width:520.501pt;height:4.40002pt;position:absolute;z-index:11;mso-position-horizontal-relative:text;mso-position-horizontal:absolute;margin-left:-0.84pt;mso-position-vertical-relative:text;margin-top:-3.23804pt;" coordsize="66103,558">
                <v:shape id="Shape 1743" style="position:absolute;width:66103;height:377;left:0;top:0;" coordsize="6610350,37757" path="m0,0l6610350,0l6610350,37757l0,37757l0,0">
                  <v:stroke on="false" weight="0pt" color="#000000" opacity="0" miterlimit="10" joinstyle="miter" endcap="flat"/>
                  <v:fill on="true" color="#843a09"/>
                </v:shape>
                <v:shape id="Shape 1744" style="position:absolute;width:66103;height:91;left:0;top:468;" coordsize="6610363,9144" path="m0,0l6610363,0l6610363,9144l0,9144l0,0">
                  <v:stroke on="false" weight="0pt" color="#000000" opacity="0" miterlimit="10" joinstyle="miter" endcap="flat"/>
                  <v:fill on="true" color="#843a09"/>
                </v:shape>
              </v:group>
            </w:pict>
          </mc:Fallback>
        </mc:AlternateContent>
      </w:r>
      <w:r w:rsidRPr="00881B04">
        <w:rPr>
          <w:rFonts w:ascii="Arial" w:hAnsi="Arial" w:cs="Arial"/>
          <w:b/>
          <w:bCs/>
          <w:sz w:val="22"/>
        </w:rPr>
        <w:t xml:space="preserve">Amendment Number One                                                          </w:t>
      </w:r>
      <w:r w:rsidR="004B212E" w:rsidRPr="00881B04">
        <w:rPr>
          <w:rFonts w:ascii="Arial" w:hAnsi="Arial" w:cs="Arial"/>
          <w:b/>
          <w:bCs/>
          <w:sz w:val="22"/>
        </w:rPr>
        <w:tab/>
      </w:r>
      <w:r w:rsidR="004B212E" w:rsidRPr="00881B04">
        <w:rPr>
          <w:rFonts w:ascii="Arial" w:hAnsi="Arial" w:cs="Arial"/>
          <w:b/>
          <w:bCs/>
          <w:sz w:val="22"/>
        </w:rPr>
        <w:tab/>
      </w:r>
      <w:r w:rsidR="004B212E" w:rsidRPr="00881B04">
        <w:rPr>
          <w:rFonts w:ascii="Arial" w:hAnsi="Arial" w:cs="Arial"/>
          <w:b/>
          <w:bCs/>
          <w:sz w:val="22"/>
        </w:rPr>
        <w:tab/>
      </w:r>
      <w:r w:rsidR="004B212E" w:rsidRPr="00881B04">
        <w:rPr>
          <w:rFonts w:ascii="Arial" w:hAnsi="Arial" w:cs="Arial"/>
          <w:b/>
          <w:bCs/>
          <w:sz w:val="22"/>
        </w:rPr>
        <w:tab/>
      </w:r>
    </w:p>
    <w:p w14:paraId="7A6DDA5B" w14:textId="77777777" w:rsidR="006B4C53" w:rsidRPr="005D65E9" w:rsidRDefault="00DB658B">
      <w:pPr>
        <w:spacing w:after="0" w:line="244" w:lineRule="auto"/>
        <w:ind w:left="14" w:right="5053"/>
        <w:rPr>
          <w:rFonts w:ascii="Arial" w:hAnsi="Arial" w:cs="Arial"/>
        </w:rPr>
      </w:pPr>
      <w:r w:rsidRPr="005D65E9">
        <w:rPr>
          <w:rFonts w:ascii="Arial" w:hAnsi="Arial" w:cs="Arial"/>
          <w:color w:val="5A9AD3"/>
        </w:rPr>
        <w:t xml:space="preserve"> </w:t>
      </w:r>
      <w:r w:rsidRPr="005D65E9">
        <w:rPr>
          <w:rFonts w:ascii="Arial" w:hAnsi="Arial" w:cs="Arial"/>
        </w:rPr>
        <w:t xml:space="preserve">   </w:t>
      </w:r>
    </w:p>
    <w:p w14:paraId="635ECBBE" w14:textId="7A6FA247" w:rsidR="006B4C53" w:rsidRPr="0016670D" w:rsidRDefault="00DB658B">
      <w:pPr>
        <w:spacing w:after="0" w:line="216" w:lineRule="auto"/>
        <w:ind w:left="14" w:right="5"/>
        <w:jc w:val="both"/>
        <w:rPr>
          <w:rFonts w:ascii="Arial" w:hAnsi="Arial" w:cs="Arial"/>
          <w:bCs/>
          <w:i/>
          <w:iCs/>
          <w:color w:val="auto"/>
          <w:sz w:val="20"/>
          <w:szCs w:val="20"/>
          <w:u w:val="single"/>
        </w:rPr>
      </w:pPr>
      <w:r w:rsidRPr="0016670D">
        <w:rPr>
          <w:rFonts w:ascii="Arial" w:eastAsia="Times New Roman" w:hAnsi="Arial" w:cs="Arial"/>
          <w:b/>
          <w:sz w:val="20"/>
          <w:szCs w:val="20"/>
          <w:u w:val="single"/>
        </w:rPr>
        <w:t>NOTE:</w:t>
      </w:r>
      <w:r w:rsidRPr="0016670D">
        <w:rPr>
          <w:rFonts w:ascii="Arial" w:eastAsia="Times New Roman" w:hAnsi="Arial" w:cs="Arial"/>
          <w:bCs/>
          <w:sz w:val="20"/>
          <w:szCs w:val="20"/>
          <w:u w:val="single"/>
        </w:rPr>
        <w:t xml:space="preserve">  </w:t>
      </w:r>
      <w:r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 xml:space="preserve">This amendment </w:t>
      </w:r>
      <w:r w:rsidR="006E32E7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 xml:space="preserve">one </w:t>
      </w:r>
      <w:r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is hereby made a part of the Mississippi Department of Education’s Request for Proposal</w:t>
      </w:r>
      <w:r w:rsidR="00C9532E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s</w:t>
      </w:r>
      <w:r w:rsidR="006E32E7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/Application</w:t>
      </w:r>
      <w:r w:rsidR="00C9532E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s</w:t>
      </w:r>
      <w:r w:rsidR="006E32E7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/Qualification</w:t>
      </w:r>
      <w:r w:rsidR="00C9532E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s</w:t>
      </w:r>
      <w:r w:rsidR="007E35A1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/Invitation for Bid</w:t>
      </w:r>
      <w:r w:rsidR="00C9532E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.</w:t>
      </w:r>
      <w:r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 xml:space="preserve">  </w:t>
      </w:r>
      <w:r w:rsidR="001850D2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 xml:space="preserve">The Vendor </w:t>
      </w:r>
      <w:r w:rsidR="00931F21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acknowledges receipt of said amendment and is made aware of the changes contained ther</w:t>
      </w:r>
      <w:r w:rsidR="0016670D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 xml:space="preserve">ein. By signing this form, the Offeror accepts the changes as part of the contract requirement. </w:t>
      </w:r>
    </w:p>
    <w:p w14:paraId="46BB2D70" w14:textId="77777777" w:rsidR="006B4C53" w:rsidRPr="00107A03" w:rsidRDefault="00DB658B">
      <w:pPr>
        <w:spacing w:after="32"/>
        <w:ind w:left="14"/>
        <w:rPr>
          <w:rFonts w:ascii="Arial" w:hAnsi="Arial" w:cs="Arial"/>
          <w:bCs/>
          <w:color w:val="auto"/>
          <w:u w:val="single"/>
        </w:rPr>
      </w:pPr>
      <w:r w:rsidRPr="00107A03">
        <w:rPr>
          <w:rFonts w:ascii="Arial" w:eastAsia="Times New Roman" w:hAnsi="Arial" w:cs="Arial"/>
          <w:bCs/>
          <w:color w:val="auto"/>
          <w:u w:val="single"/>
        </w:rPr>
        <w:t xml:space="preserve"> </w:t>
      </w:r>
      <w:r w:rsidRPr="00107A03">
        <w:rPr>
          <w:rFonts w:ascii="Arial" w:hAnsi="Arial" w:cs="Arial"/>
          <w:bCs/>
          <w:color w:val="auto"/>
          <w:u w:val="single"/>
        </w:rPr>
        <w:t xml:space="preserve"> </w:t>
      </w:r>
    </w:p>
    <w:p w14:paraId="2500F429" w14:textId="21BB4324" w:rsidR="006B4C53" w:rsidRPr="005D65E9" w:rsidRDefault="00DB658B" w:rsidP="004C09B1">
      <w:pPr>
        <w:spacing w:after="35"/>
        <w:ind w:left="14"/>
        <w:rPr>
          <w:rFonts w:ascii="Arial" w:hAnsi="Arial" w:cs="Arial"/>
        </w:rPr>
      </w:pPr>
      <w:r w:rsidRPr="005D65E9">
        <w:rPr>
          <w:rFonts w:ascii="Arial" w:eastAsia="Times New Roman" w:hAnsi="Arial" w:cs="Arial"/>
        </w:rPr>
        <w:t xml:space="preserve"> </w:t>
      </w:r>
      <w:r w:rsidRPr="005D65E9">
        <w:rPr>
          <w:rFonts w:ascii="Arial" w:hAnsi="Arial" w:cs="Arial"/>
        </w:rPr>
        <w:t xml:space="preserve"> </w:t>
      </w:r>
    </w:p>
    <w:p w14:paraId="30A38789" w14:textId="77777777" w:rsidR="006B4C53" w:rsidRPr="005D65E9" w:rsidRDefault="00DB658B">
      <w:pPr>
        <w:spacing w:after="0" w:line="265" w:lineRule="auto"/>
        <w:ind w:left="9" w:hanging="10"/>
        <w:rPr>
          <w:rFonts w:ascii="Arial" w:hAnsi="Arial" w:cs="Arial"/>
        </w:rPr>
      </w:pPr>
      <w:r w:rsidRPr="005D65E9">
        <w:rPr>
          <w:rFonts w:ascii="Arial" w:eastAsia="Times New Roman" w:hAnsi="Arial" w:cs="Arial"/>
        </w:rPr>
        <w:t xml:space="preserve">________________________________________                       ___________________________ </w:t>
      </w:r>
      <w:r w:rsidRPr="005D65E9">
        <w:rPr>
          <w:rFonts w:ascii="Arial" w:hAnsi="Arial" w:cs="Arial"/>
          <w:vertAlign w:val="subscript"/>
        </w:rPr>
        <w:t xml:space="preserve"> </w:t>
      </w:r>
    </w:p>
    <w:p w14:paraId="5C418F8C" w14:textId="0C85EE40" w:rsidR="004C09B1" w:rsidRDefault="00DB658B">
      <w:pPr>
        <w:spacing w:after="0" w:line="265" w:lineRule="auto"/>
        <w:ind w:left="9" w:hanging="10"/>
        <w:rPr>
          <w:rFonts w:ascii="Arial" w:hAnsi="Arial" w:cs="Arial"/>
          <w:vertAlign w:val="subscript"/>
        </w:rPr>
      </w:pPr>
      <w:r w:rsidRPr="005D65E9">
        <w:rPr>
          <w:rFonts w:ascii="Arial" w:eastAsia="Times New Roman" w:hAnsi="Arial" w:cs="Arial"/>
        </w:rPr>
        <w:t xml:space="preserve">Authorized Signature </w:t>
      </w:r>
      <w:r w:rsidR="00D0384D">
        <w:rPr>
          <w:rFonts w:ascii="Arial" w:eastAsia="Times New Roman" w:hAnsi="Arial" w:cs="Arial"/>
        </w:rPr>
        <w:tab/>
      </w:r>
      <w:r w:rsidR="00D0384D">
        <w:rPr>
          <w:rFonts w:ascii="Arial" w:eastAsia="Times New Roman" w:hAnsi="Arial" w:cs="Arial"/>
        </w:rPr>
        <w:tab/>
      </w:r>
      <w:r w:rsidR="00D0384D">
        <w:rPr>
          <w:rFonts w:ascii="Arial" w:eastAsia="Times New Roman" w:hAnsi="Arial" w:cs="Arial"/>
        </w:rPr>
        <w:tab/>
      </w:r>
      <w:r w:rsidR="00D0384D">
        <w:rPr>
          <w:rFonts w:ascii="Arial" w:eastAsia="Times New Roman" w:hAnsi="Arial" w:cs="Arial"/>
        </w:rPr>
        <w:tab/>
      </w:r>
      <w:r w:rsidR="00D0384D">
        <w:rPr>
          <w:rFonts w:ascii="Arial" w:eastAsia="Times New Roman" w:hAnsi="Arial" w:cs="Arial"/>
        </w:rPr>
        <w:tab/>
      </w:r>
      <w:r w:rsidR="00D0384D">
        <w:rPr>
          <w:rFonts w:ascii="Arial" w:eastAsia="Times New Roman" w:hAnsi="Arial" w:cs="Arial"/>
        </w:rPr>
        <w:tab/>
        <w:t xml:space="preserve">         </w:t>
      </w:r>
      <w:r w:rsidRPr="005D65E9">
        <w:rPr>
          <w:rFonts w:ascii="Arial" w:eastAsia="Times New Roman" w:hAnsi="Arial" w:cs="Arial"/>
        </w:rPr>
        <w:t xml:space="preserve">Date </w:t>
      </w:r>
      <w:r w:rsidRPr="005D65E9">
        <w:rPr>
          <w:rFonts w:ascii="Arial" w:hAnsi="Arial" w:cs="Arial"/>
          <w:vertAlign w:val="subscript"/>
        </w:rPr>
        <w:t xml:space="preserve"> </w:t>
      </w:r>
    </w:p>
    <w:p w14:paraId="03C4E664" w14:textId="77777777" w:rsidR="004C09B1" w:rsidRDefault="004C09B1">
      <w:pPr>
        <w:spacing w:after="0" w:line="265" w:lineRule="auto"/>
        <w:ind w:left="9" w:hanging="10"/>
        <w:rPr>
          <w:rFonts w:ascii="Arial" w:hAnsi="Arial" w:cs="Arial"/>
          <w:vertAlign w:val="subscript"/>
        </w:rPr>
      </w:pPr>
    </w:p>
    <w:p w14:paraId="0C9366EB" w14:textId="5A2CCD18" w:rsidR="006B4C53" w:rsidRPr="005D65E9" w:rsidRDefault="00DB658B">
      <w:pPr>
        <w:spacing w:after="0" w:line="265" w:lineRule="auto"/>
        <w:ind w:left="9" w:hanging="10"/>
        <w:rPr>
          <w:rFonts w:ascii="Arial" w:hAnsi="Arial" w:cs="Arial"/>
        </w:rPr>
      </w:pPr>
      <w:r w:rsidRPr="005D65E9">
        <w:rPr>
          <w:rFonts w:ascii="Arial" w:eastAsia="Times New Roman" w:hAnsi="Arial" w:cs="Arial"/>
        </w:rPr>
        <w:t xml:space="preserve">________________________________________ </w:t>
      </w:r>
      <w:r w:rsidRPr="005D65E9">
        <w:rPr>
          <w:rFonts w:ascii="Arial" w:hAnsi="Arial" w:cs="Arial"/>
          <w:vertAlign w:val="subscript"/>
        </w:rPr>
        <w:t xml:space="preserve"> </w:t>
      </w:r>
    </w:p>
    <w:p w14:paraId="3546348A" w14:textId="0911C227" w:rsidR="006B4C53" w:rsidRDefault="00DB658B" w:rsidP="004C09B1">
      <w:pPr>
        <w:spacing w:after="12"/>
        <w:rPr>
          <w:rFonts w:ascii="Arial" w:hAnsi="Arial" w:cs="Arial"/>
          <w:vertAlign w:val="subscript"/>
        </w:rPr>
      </w:pPr>
      <w:r w:rsidRPr="005D65E9">
        <w:rPr>
          <w:rFonts w:ascii="Arial" w:eastAsia="Times New Roman" w:hAnsi="Arial" w:cs="Arial"/>
        </w:rPr>
        <w:t xml:space="preserve">Printed Name </w:t>
      </w:r>
    </w:p>
    <w:p w14:paraId="299EADDF" w14:textId="77777777" w:rsidR="00A609BF" w:rsidRDefault="00A609BF" w:rsidP="00A609BF">
      <w:pPr>
        <w:spacing w:after="10063" w:line="265" w:lineRule="auto"/>
        <w:ind w:left="9" w:hanging="10"/>
      </w:pPr>
    </w:p>
    <w:sectPr w:rsidR="00A609BF">
      <w:headerReference w:type="default" r:id="rId8"/>
      <w:footerReference w:type="default" r:id="rId9"/>
      <w:pgSz w:w="12240" w:h="15840"/>
      <w:pgMar w:top="985" w:right="1069" w:bottom="12" w:left="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144EA" w14:textId="77777777" w:rsidR="000443FD" w:rsidRDefault="000443FD" w:rsidP="00DB658B">
      <w:pPr>
        <w:spacing w:after="0" w:line="240" w:lineRule="auto"/>
      </w:pPr>
      <w:r>
        <w:separator/>
      </w:r>
    </w:p>
  </w:endnote>
  <w:endnote w:type="continuationSeparator" w:id="0">
    <w:p w14:paraId="78E76B85" w14:textId="77777777" w:rsidR="000443FD" w:rsidRDefault="000443FD" w:rsidP="00DB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5"/>
      <w:gridCol w:w="3455"/>
      <w:gridCol w:w="3455"/>
    </w:tblGrid>
    <w:tr w:rsidR="67392D9C" w14:paraId="2CBA4D76" w14:textId="77777777" w:rsidTr="67392D9C">
      <w:trPr>
        <w:trHeight w:val="300"/>
      </w:trPr>
      <w:tc>
        <w:tcPr>
          <w:tcW w:w="3455" w:type="dxa"/>
        </w:tcPr>
        <w:p w14:paraId="0306AFD5" w14:textId="6C692A87" w:rsidR="67392D9C" w:rsidRDefault="67392D9C" w:rsidP="67392D9C">
          <w:pPr>
            <w:pStyle w:val="Header"/>
            <w:ind w:left="-115"/>
          </w:pPr>
        </w:p>
      </w:tc>
      <w:tc>
        <w:tcPr>
          <w:tcW w:w="3455" w:type="dxa"/>
        </w:tcPr>
        <w:p w14:paraId="2A3B5C9E" w14:textId="08FB1C55" w:rsidR="67392D9C" w:rsidRDefault="67392D9C" w:rsidP="67392D9C">
          <w:pPr>
            <w:pStyle w:val="Header"/>
            <w:jc w:val="center"/>
          </w:pPr>
        </w:p>
      </w:tc>
      <w:tc>
        <w:tcPr>
          <w:tcW w:w="3455" w:type="dxa"/>
        </w:tcPr>
        <w:p w14:paraId="7EBDD1B6" w14:textId="360578CB" w:rsidR="67392D9C" w:rsidRDefault="67392D9C" w:rsidP="67392D9C">
          <w:pPr>
            <w:pStyle w:val="Header"/>
            <w:ind w:right="-115"/>
            <w:jc w:val="right"/>
          </w:pPr>
        </w:p>
      </w:tc>
    </w:tr>
  </w:tbl>
  <w:p w14:paraId="1C15E657" w14:textId="2CB83164" w:rsidR="67392D9C" w:rsidRDefault="67392D9C" w:rsidP="67392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FC4FA" w14:textId="77777777" w:rsidR="000443FD" w:rsidRDefault="000443FD" w:rsidP="00DB658B">
      <w:pPr>
        <w:spacing w:after="0" w:line="240" w:lineRule="auto"/>
      </w:pPr>
      <w:r>
        <w:separator/>
      </w:r>
    </w:p>
  </w:footnote>
  <w:footnote w:type="continuationSeparator" w:id="0">
    <w:p w14:paraId="45BC3A1E" w14:textId="77777777" w:rsidR="000443FD" w:rsidRDefault="000443FD" w:rsidP="00DB6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7E98C" w14:textId="3D589672" w:rsidR="00D263C7" w:rsidRDefault="00447095" w:rsidP="007810B7">
    <w:pPr>
      <w:pStyle w:val="Header"/>
      <w:tabs>
        <w:tab w:val="clear" w:pos="4680"/>
        <w:tab w:val="clear" w:pos="9360"/>
      </w:tabs>
      <w:ind w:left="6480" w:right="-336"/>
      <w:rPr>
        <w:rFonts w:ascii="Arial" w:hAnsi="Arial" w:cs="Arial"/>
        <w:sz w:val="20"/>
        <w:szCs w:val="20"/>
      </w:rPr>
    </w:pPr>
    <w:r w:rsidRPr="00447095">
      <w:rPr>
        <w:rFonts w:ascii="Arial" w:hAnsi="Arial" w:cs="Arial"/>
        <w:sz w:val="20"/>
        <w:szCs w:val="20"/>
      </w:rPr>
      <w:tab/>
    </w:r>
    <w:r w:rsidRPr="00447095">
      <w:rPr>
        <w:rFonts w:ascii="Arial" w:hAnsi="Arial" w:cs="Arial"/>
        <w:sz w:val="20"/>
        <w:szCs w:val="20"/>
      </w:rPr>
      <w:tab/>
    </w:r>
    <w:r w:rsidR="007810B7">
      <w:rPr>
        <w:rFonts w:ascii="Arial" w:hAnsi="Arial" w:cs="Arial"/>
        <w:sz w:val="20"/>
        <w:szCs w:val="20"/>
      </w:rPr>
      <w:t xml:space="preserve">       Revised Decemb</w:t>
    </w:r>
    <w:r w:rsidR="00ED4FBD">
      <w:rPr>
        <w:rFonts w:ascii="Arial" w:hAnsi="Arial" w:cs="Arial"/>
        <w:sz w:val="20"/>
        <w:szCs w:val="20"/>
      </w:rPr>
      <w:t>er</w:t>
    </w:r>
    <w:r w:rsidR="00D263C7">
      <w:rPr>
        <w:rFonts w:ascii="Arial" w:hAnsi="Arial" w:cs="Arial"/>
        <w:sz w:val="20"/>
        <w:szCs w:val="20"/>
      </w:rPr>
      <w:t>2022</w:t>
    </w:r>
  </w:p>
  <w:p w14:paraId="38F5CAE0" w14:textId="2AFF19E6" w:rsidR="00A609BF" w:rsidRPr="00447095" w:rsidRDefault="67392D9C" w:rsidP="67392D9C">
    <w:pPr>
      <w:pStyle w:val="Header"/>
      <w:tabs>
        <w:tab w:val="clear" w:pos="4680"/>
        <w:tab w:val="clear" w:pos="9360"/>
        <w:tab w:val="left" w:pos="9102"/>
      </w:tabs>
      <w:ind w:right="-336"/>
      <w:rPr>
        <w:rFonts w:ascii="Arial" w:hAnsi="Arial" w:cs="Arial"/>
        <w:color w:val="FF0000"/>
        <w:sz w:val="20"/>
        <w:szCs w:val="20"/>
      </w:rPr>
    </w:pPr>
    <w:r w:rsidRPr="67392D9C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45C8"/>
    <w:multiLevelType w:val="hybridMultilevel"/>
    <w:tmpl w:val="F2B6C6D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B65217"/>
    <w:multiLevelType w:val="hybridMultilevel"/>
    <w:tmpl w:val="5BCC10B6"/>
    <w:lvl w:ilvl="0" w:tplc="6B064450">
      <w:start w:val="1"/>
      <w:numFmt w:val="decimal"/>
      <w:lvlText w:val="%1."/>
      <w:lvlJc w:val="left"/>
      <w:pPr>
        <w:ind w:left="37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25A8F22A"/>
    <w:multiLevelType w:val="hybridMultilevel"/>
    <w:tmpl w:val="07A254BC"/>
    <w:lvl w:ilvl="0" w:tplc="06B82B04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</w:rPr>
    </w:lvl>
    <w:lvl w:ilvl="1" w:tplc="BB2E43C2">
      <w:start w:val="1"/>
      <w:numFmt w:val="bullet"/>
      <w:lvlText w:val="o"/>
      <w:lvlJc w:val="left"/>
      <w:pPr>
        <w:ind w:left="1106" w:hanging="360"/>
      </w:pPr>
      <w:rPr>
        <w:rFonts w:ascii="Courier New" w:hAnsi="Courier New" w:hint="default"/>
      </w:rPr>
    </w:lvl>
    <w:lvl w:ilvl="2" w:tplc="C5B8C712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9B1E3A46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582AD38">
      <w:start w:val="1"/>
      <w:numFmt w:val="bullet"/>
      <w:lvlText w:val="o"/>
      <w:lvlJc w:val="left"/>
      <w:pPr>
        <w:ind w:left="3266" w:hanging="360"/>
      </w:pPr>
      <w:rPr>
        <w:rFonts w:ascii="Courier New" w:hAnsi="Courier New" w:hint="default"/>
      </w:rPr>
    </w:lvl>
    <w:lvl w:ilvl="5" w:tplc="E46451D2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6B5C2820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96B2A186">
      <w:start w:val="1"/>
      <w:numFmt w:val="bullet"/>
      <w:lvlText w:val="o"/>
      <w:lvlJc w:val="left"/>
      <w:pPr>
        <w:ind w:left="5426" w:hanging="360"/>
      </w:pPr>
      <w:rPr>
        <w:rFonts w:ascii="Courier New" w:hAnsi="Courier New" w:hint="default"/>
      </w:rPr>
    </w:lvl>
    <w:lvl w:ilvl="8" w:tplc="27F8B54C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3" w15:restartNumberingAfterBreak="0">
    <w:nsid w:val="383F0D0F"/>
    <w:multiLevelType w:val="hybridMultilevel"/>
    <w:tmpl w:val="11AEC0AA"/>
    <w:lvl w:ilvl="0" w:tplc="362C9CC2">
      <w:start w:val="1"/>
      <w:numFmt w:val="decimal"/>
      <w:lvlText w:val="%1."/>
      <w:lvlJc w:val="left"/>
      <w:pPr>
        <w:ind w:left="1440" w:hanging="360"/>
      </w:pPr>
      <w:rPr>
        <w:rFonts w:ascii="Georgia" w:hAnsi="Georgia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B0465B"/>
    <w:multiLevelType w:val="hybridMultilevel"/>
    <w:tmpl w:val="B2C6ED60"/>
    <w:lvl w:ilvl="0" w:tplc="362C9CC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70D40"/>
    <w:multiLevelType w:val="hybridMultilevel"/>
    <w:tmpl w:val="00843572"/>
    <w:lvl w:ilvl="0" w:tplc="362C9CC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D3101"/>
    <w:multiLevelType w:val="hybridMultilevel"/>
    <w:tmpl w:val="85069F14"/>
    <w:lvl w:ilvl="0" w:tplc="500EAD84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2C566">
      <w:start w:val="1"/>
      <w:numFmt w:val="lowerLetter"/>
      <w:lvlText w:val="%2."/>
      <w:lvlJc w:val="left"/>
      <w:pPr>
        <w:ind w:left="1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A41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E872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C0BF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2A3B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BCDF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263F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06B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F67BA4"/>
    <w:multiLevelType w:val="hybridMultilevel"/>
    <w:tmpl w:val="0CB83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C0754"/>
    <w:multiLevelType w:val="hybridMultilevel"/>
    <w:tmpl w:val="0D9C8BBA"/>
    <w:lvl w:ilvl="0" w:tplc="FF9ED696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B4824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D81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CD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0E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A2A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04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7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DC2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9493A"/>
    <w:multiLevelType w:val="hybridMultilevel"/>
    <w:tmpl w:val="D8E2CF78"/>
    <w:lvl w:ilvl="0" w:tplc="362C9CC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818787">
    <w:abstractNumId w:val="8"/>
  </w:num>
  <w:num w:numId="2" w16cid:durableId="435633220">
    <w:abstractNumId w:val="2"/>
  </w:num>
  <w:num w:numId="3" w16cid:durableId="1502431754">
    <w:abstractNumId w:val="6"/>
  </w:num>
  <w:num w:numId="4" w16cid:durableId="1966503294">
    <w:abstractNumId w:val="3"/>
  </w:num>
  <w:num w:numId="5" w16cid:durableId="115760740">
    <w:abstractNumId w:val="9"/>
  </w:num>
  <w:num w:numId="6" w16cid:durableId="569077169">
    <w:abstractNumId w:val="5"/>
  </w:num>
  <w:num w:numId="7" w16cid:durableId="240799766">
    <w:abstractNumId w:val="4"/>
  </w:num>
  <w:num w:numId="8" w16cid:durableId="180819074">
    <w:abstractNumId w:val="0"/>
  </w:num>
  <w:num w:numId="9" w16cid:durableId="1356733968">
    <w:abstractNumId w:val="1"/>
  </w:num>
  <w:num w:numId="10" w16cid:durableId="703017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53"/>
    <w:rsid w:val="00006BDF"/>
    <w:rsid w:val="000443FD"/>
    <w:rsid w:val="00107A03"/>
    <w:rsid w:val="0016670D"/>
    <w:rsid w:val="001850D2"/>
    <w:rsid w:val="0018731C"/>
    <w:rsid w:val="001D5E02"/>
    <w:rsid w:val="0022180C"/>
    <w:rsid w:val="0026385F"/>
    <w:rsid w:val="00334A7B"/>
    <w:rsid w:val="003D14FB"/>
    <w:rsid w:val="00447095"/>
    <w:rsid w:val="004A15BD"/>
    <w:rsid w:val="004B212E"/>
    <w:rsid w:val="004C09B1"/>
    <w:rsid w:val="005205F5"/>
    <w:rsid w:val="00527F7F"/>
    <w:rsid w:val="005972B0"/>
    <w:rsid w:val="005D5CE9"/>
    <w:rsid w:val="005D65E9"/>
    <w:rsid w:val="005F35B2"/>
    <w:rsid w:val="006425A8"/>
    <w:rsid w:val="006458EC"/>
    <w:rsid w:val="006B4C53"/>
    <w:rsid w:val="006C2190"/>
    <w:rsid w:val="006E32E7"/>
    <w:rsid w:val="00701B18"/>
    <w:rsid w:val="00725C9B"/>
    <w:rsid w:val="007810B7"/>
    <w:rsid w:val="007A3C40"/>
    <w:rsid w:val="007E35A1"/>
    <w:rsid w:val="008260ED"/>
    <w:rsid w:val="00881B04"/>
    <w:rsid w:val="00931F21"/>
    <w:rsid w:val="00A609BF"/>
    <w:rsid w:val="00A724CB"/>
    <w:rsid w:val="00A75AB9"/>
    <w:rsid w:val="00A7666E"/>
    <w:rsid w:val="00A9704C"/>
    <w:rsid w:val="00BD442E"/>
    <w:rsid w:val="00C4578E"/>
    <w:rsid w:val="00C77172"/>
    <w:rsid w:val="00C9532E"/>
    <w:rsid w:val="00CC1D1E"/>
    <w:rsid w:val="00D0384D"/>
    <w:rsid w:val="00D263C7"/>
    <w:rsid w:val="00D80165"/>
    <w:rsid w:val="00DB658B"/>
    <w:rsid w:val="00DB7FF0"/>
    <w:rsid w:val="00E40D07"/>
    <w:rsid w:val="00ED4FBD"/>
    <w:rsid w:val="00F138D7"/>
    <w:rsid w:val="00F239FD"/>
    <w:rsid w:val="00F51E0F"/>
    <w:rsid w:val="00F91B85"/>
    <w:rsid w:val="00F92040"/>
    <w:rsid w:val="00F973D2"/>
    <w:rsid w:val="00FA2B45"/>
    <w:rsid w:val="00FD04BC"/>
    <w:rsid w:val="02BE0BF0"/>
    <w:rsid w:val="0A8AFE53"/>
    <w:rsid w:val="0E9C38CB"/>
    <w:rsid w:val="0EE5C909"/>
    <w:rsid w:val="1C2F6CC2"/>
    <w:rsid w:val="1E329FBA"/>
    <w:rsid w:val="208A4002"/>
    <w:rsid w:val="4114D383"/>
    <w:rsid w:val="45253C16"/>
    <w:rsid w:val="4DD43A83"/>
    <w:rsid w:val="4DDE2E16"/>
    <w:rsid w:val="519A4343"/>
    <w:rsid w:val="5595B79C"/>
    <w:rsid w:val="55B43780"/>
    <w:rsid w:val="5A9465B5"/>
    <w:rsid w:val="60374A30"/>
    <w:rsid w:val="62A92F54"/>
    <w:rsid w:val="6607824B"/>
    <w:rsid w:val="67392D9C"/>
    <w:rsid w:val="6DE0E5D6"/>
    <w:rsid w:val="6E0E4E6F"/>
    <w:rsid w:val="75A5A15F"/>
    <w:rsid w:val="76F1D12A"/>
    <w:rsid w:val="7756AA5B"/>
    <w:rsid w:val="78C0032A"/>
    <w:rsid w:val="7E919D80"/>
    <w:rsid w:val="7F1A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035C9"/>
  <w15:docId w15:val="{74488ED3-4FD6-47F8-B0E1-6B7CD83F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/>
      <w:ind w:left="3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5" w:lineRule="auto"/>
      <w:ind w:left="24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5D6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C4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9B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6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9BF"/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Decision Support RFP Amendment Number 1</vt:lpstr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Decision Support RFP Amendment Number 1</dc:title>
  <dc:subject/>
  <dc:creator>TA428815</dc:creator>
  <cp:keywords/>
  <cp:lastModifiedBy>Jerrika Jackson</cp:lastModifiedBy>
  <cp:revision>5</cp:revision>
  <dcterms:created xsi:type="dcterms:W3CDTF">2025-07-17T20:32:00Z</dcterms:created>
  <dcterms:modified xsi:type="dcterms:W3CDTF">2025-07-17T21:35:00Z</dcterms:modified>
</cp:coreProperties>
</file>