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B6" w:rsidRDefault="00074DB6" w:rsidP="00312254">
      <w:pPr>
        <w:jc w:val="center"/>
        <w:rPr>
          <w:b/>
        </w:rPr>
      </w:pPr>
    </w:p>
    <w:p w:rsidR="009E4E0C" w:rsidRDefault="00312254" w:rsidP="00751889">
      <w:pPr>
        <w:jc w:val="center"/>
        <w:rPr>
          <w:b/>
        </w:rPr>
      </w:pPr>
      <w:r w:rsidRPr="009E4E0C">
        <w:rPr>
          <w:b/>
        </w:rPr>
        <w:t xml:space="preserve">Technical Assistance </w:t>
      </w:r>
    </w:p>
    <w:p w:rsidR="00312254" w:rsidRPr="009E4E0C" w:rsidRDefault="00312254" w:rsidP="00751889">
      <w:pPr>
        <w:jc w:val="center"/>
        <w:rPr>
          <w:b/>
        </w:rPr>
      </w:pPr>
      <w:r w:rsidRPr="009E4E0C">
        <w:rPr>
          <w:b/>
        </w:rPr>
        <w:t>Year 1 Grantees</w:t>
      </w:r>
    </w:p>
    <w:p w:rsidR="00312254" w:rsidRPr="009E4E0C" w:rsidRDefault="00312254" w:rsidP="00751889">
      <w:pPr>
        <w:rPr>
          <w:b/>
        </w:rPr>
      </w:pPr>
    </w:p>
    <w:p w:rsidR="00BD42B7" w:rsidRPr="009E4E0C" w:rsidRDefault="00312254" w:rsidP="00751889">
      <w:r w:rsidRPr="009E4E0C">
        <w:t>The Technical Assistance Cycle of monitoring is an opportunity for all new grantees to receive an in-depth overview of the 21</w:t>
      </w:r>
      <w:r w:rsidRPr="009E4E0C">
        <w:rPr>
          <w:vertAlign w:val="superscript"/>
        </w:rPr>
        <w:t>st</w:t>
      </w:r>
      <w:r w:rsidRPr="009E4E0C">
        <w:t xml:space="preserve"> CCLC program.  Grantees receive guidance on what a successful 21</w:t>
      </w:r>
      <w:r w:rsidRPr="009E4E0C">
        <w:rPr>
          <w:vertAlign w:val="superscript"/>
        </w:rPr>
        <w:t>st</w:t>
      </w:r>
      <w:r w:rsidRPr="009E4E0C">
        <w:t xml:space="preserve"> CCLC program look</w:t>
      </w:r>
      <w:r w:rsidR="0036105B">
        <w:t>s</w:t>
      </w:r>
      <w:r w:rsidRPr="009E4E0C">
        <w:t xml:space="preserve"> like.  Grantees should also do a self-assessment, using the 21</w:t>
      </w:r>
      <w:r w:rsidRPr="009E4E0C">
        <w:rPr>
          <w:vertAlign w:val="superscript"/>
        </w:rPr>
        <w:t>st</w:t>
      </w:r>
      <w:r w:rsidRPr="009E4E0C">
        <w:t xml:space="preserve"> CCLC monitoring instrument, to bring</w:t>
      </w:r>
      <w:r w:rsidR="00FC46E0">
        <w:t xml:space="preserve"> the</w:t>
      </w:r>
      <w:r w:rsidRPr="009E4E0C">
        <w:t xml:space="preserve"> program into compliance with requirements of the grant and request assistance from MDE if needed.</w:t>
      </w:r>
    </w:p>
    <w:p w:rsidR="009E4E0C" w:rsidRDefault="009E4E0C" w:rsidP="00751889"/>
    <w:p w:rsidR="009E4E0C" w:rsidRDefault="009E4E0C" w:rsidP="00751889">
      <w:pPr>
        <w:jc w:val="center"/>
        <w:rPr>
          <w:b/>
        </w:rPr>
      </w:pPr>
    </w:p>
    <w:p w:rsidR="009E4E0C" w:rsidRDefault="009E4E0C" w:rsidP="00751889">
      <w:pPr>
        <w:jc w:val="center"/>
        <w:rPr>
          <w:b/>
        </w:rPr>
      </w:pPr>
      <w:r>
        <w:rPr>
          <w:b/>
        </w:rPr>
        <w:t xml:space="preserve">On-site </w:t>
      </w:r>
      <w:r w:rsidRPr="009E4E0C">
        <w:rPr>
          <w:b/>
        </w:rPr>
        <w:t xml:space="preserve">Monitoring </w:t>
      </w:r>
    </w:p>
    <w:p w:rsidR="009E4E0C" w:rsidRPr="009E4E0C" w:rsidRDefault="009E4E0C" w:rsidP="00751889">
      <w:pPr>
        <w:jc w:val="center"/>
        <w:rPr>
          <w:b/>
        </w:rPr>
      </w:pPr>
      <w:r w:rsidRPr="009E4E0C">
        <w:rPr>
          <w:b/>
        </w:rPr>
        <w:t>Years 2 &amp; 3 Grantees</w:t>
      </w:r>
    </w:p>
    <w:p w:rsidR="009E4E0C" w:rsidRPr="009E4E0C" w:rsidRDefault="009E4E0C" w:rsidP="00751889">
      <w:pPr>
        <w:jc w:val="center"/>
        <w:rPr>
          <w:b/>
          <w:i/>
        </w:rPr>
      </w:pPr>
    </w:p>
    <w:p w:rsidR="009E4E0C" w:rsidRPr="009E4E0C" w:rsidRDefault="009E4E0C" w:rsidP="0036105B">
      <w:pPr>
        <w:spacing w:after="100" w:afterAutospacing="1"/>
      </w:pPr>
      <w:r w:rsidRPr="009E4E0C">
        <w:t>All grantees in years two and three will receive an on-site monitoring visit, which should last from one to two days.  No technical assistance will be provided during the monitoring visit.</w:t>
      </w:r>
    </w:p>
    <w:p w:rsidR="009E4E0C" w:rsidRPr="009E4E0C" w:rsidRDefault="009E4E0C" w:rsidP="0036105B">
      <w:pPr>
        <w:numPr>
          <w:ilvl w:val="0"/>
          <w:numId w:val="1"/>
        </w:numPr>
        <w:spacing w:after="100" w:afterAutospacing="1"/>
      </w:pPr>
      <w:r w:rsidRPr="009E4E0C">
        <w:t>During the visit, the team will interview Lead staff, Consortium Partners, or Collaborating Staff.  Other staff may be included as necessary.</w:t>
      </w:r>
    </w:p>
    <w:p w:rsidR="009E4E0C" w:rsidRPr="009E4E0C" w:rsidRDefault="009E4E0C" w:rsidP="0036105B">
      <w:pPr>
        <w:numPr>
          <w:ilvl w:val="0"/>
          <w:numId w:val="1"/>
        </w:numPr>
        <w:spacing w:after="100" w:afterAutospacing="1"/>
      </w:pPr>
      <w:r w:rsidRPr="009E4E0C">
        <w:t>The monitoring visit will include visits to all afterschool sites as approved by MDE.</w:t>
      </w:r>
    </w:p>
    <w:p w:rsidR="009E4E0C" w:rsidRPr="009E4E0C" w:rsidRDefault="009E4E0C" w:rsidP="0036105B">
      <w:pPr>
        <w:numPr>
          <w:ilvl w:val="0"/>
          <w:numId w:val="1"/>
        </w:numPr>
        <w:spacing w:after="100" w:afterAutospacing="1"/>
      </w:pPr>
      <w:r w:rsidRPr="009E4E0C">
        <w:t>At the conclusion of the visit, the MDE monitoring team will provide a comprehensive monitoring report of findings to the Grantee within thirty (30) days.</w:t>
      </w:r>
    </w:p>
    <w:p w:rsidR="009E4E0C" w:rsidRPr="009E4E0C" w:rsidRDefault="0036105B" w:rsidP="0036105B">
      <w:pPr>
        <w:numPr>
          <w:ilvl w:val="0"/>
          <w:numId w:val="1"/>
        </w:numPr>
        <w:spacing w:after="100" w:afterAutospacing="1"/>
      </w:pPr>
      <w:r>
        <w:t>The g</w:t>
      </w:r>
      <w:r w:rsidR="009E4E0C" w:rsidRPr="009E4E0C">
        <w:t>rantee has thirty (30) days to respond to findings of noncompliance and required corrective actions.  Supporting documentation must be submitted to clear the citation.</w:t>
      </w:r>
    </w:p>
    <w:p w:rsidR="009E4E0C" w:rsidRPr="009E4E0C" w:rsidRDefault="009E4E0C" w:rsidP="0036105B">
      <w:pPr>
        <w:numPr>
          <w:ilvl w:val="0"/>
          <w:numId w:val="1"/>
        </w:numPr>
        <w:spacing w:after="100" w:afterAutospacing="1"/>
      </w:pPr>
      <w:r w:rsidRPr="009E4E0C">
        <w:t>MDE staff will review documentation to determine if it is sufficient to clear any citations of noncompliance, and to insure that the appropriate corrective action has been developed within thirty (30) days of receipt of response and inform the Grantee of the status of their monitoring report as follows:</w:t>
      </w:r>
    </w:p>
    <w:p w:rsidR="009E4E0C" w:rsidRPr="009E4E0C" w:rsidRDefault="009E4E0C" w:rsidP="0036105B">
      <w:pPr>
        <w:numPr>
          <w:ilvl w:val="1"/>
          <w:numId w:val="1"/>
        </w:numPr>
        <w:spacing w:after="100" w:afterAutospacing="1"/>
      </w:pPr>
      <w:r w:rsidRPr="009E4E0C">
        <w:t>Cleared</w:t>
      </w:r>
    </w:p>
    <w:p w:rsidR="009E4E0C" w:rsidRPr="009E4E0C" w:rsidRDefault="009E4E0C" w:rsidP="0036105B">
      <w:pPr>
        <w:numPr>
          <w:ilvl w:val="1"/>
          <w:numId w:val="1"/>
        </w:numPr>
        <w:spacing w:after="100" w:afterAutospacing="1"/>
      </w:pPr>
      <w:r w:rsidRPr="009E4E0C">
        <w:t>Remains open pending additional information</w:t>
      </w:r>
    </w:p>
    <w:p w:rsidR="009E4E0C" w:rsidRPr="009E4E0C" w:rsidRDefault="009E4E0C" w:rsidP="0036105B">
      <w:pPr>
        <w:numPr>
          <w:ilvl w:val="1"/>
          <w:numId w:val="1"/>
        </w:numPr>
        <w:spacing w:after="100" w:afterAutospacing="1"/>
      </w:pPr>
      <w:r w:rsidRPr="009E4E0C">
        <w:t>Unresolved pending follow-up visit</w:t>
      </w:r>
    </w:p>
    <w:p w:rsidR="009E4E0C" w:rsidRDefault="009E4E0C" w:rsidP="00751889">
      <w:pPr>
        <w:jc w:val="center"/>
        <w:rPr>
          <w:b/>
        </w:rPr>
      </w:pPr>
    </w:p>
    <w:p w:rsidR="009E4E0C" w:rsidRPr="009E4E0C" w:rsidRDefault="009E4E0C" w:rsidP="00751889">
      <w:pPr>
        <w:jc w:val="center"/>
        <w:rPr>
          <w:b/>
        </w:rPr>
      </w:pPr>
      <w:r w:rsidRPr="009E4E0C">
        <w:rPr>
          <w:b/>
        </w:rPr>
        <w:t xml:space="preserve">Desk Audit </w:t>
      </w:r>
    </w:p>
    <w:p w:rsidR="009E4E0C" w:rsidRDefault="009E4E0C" w:rsidP="00751889">
      <w:pPr>
        <w:jc w:val="center"/>
        <w:rPr>
          <w:b/>
        </w:rPr>
      </w:pPr>
      <w:r w:rsidRPr="009E4E0C">
        <w:rPr>
          <w:b/>
        </w:rPr>
        <w:t>Year 4 Grantees</w:t>
      </w:r>
    </w:p>
    <w:p w:rsidR="0036105B" w:rsidRDefault="0036105B" w:rsidP="00751889">
      <w:pPr>
        <w:jc w:val="center"/>
        <w:rPr>
          <w:b/>
        </w:rPr>
      </w:pPr>
    </w:p>
    <w:p w:rsidR="00FC46E0" w:rsidRPr="00FC46E0" w:rsidRDefault="00FC46E0" w:rsidP="0036105B">
      <w:pPr>
        <w:spacing w:after="100" w:afterAutospacing="1"/>
        <w:rPr>
          <w:i/>
        </w:rPr>
      </w:pPr>
      <w:r>
        <w:t xml:space="preserve">The MDE will conduct a desk audit for all grantees in year four.  The audit will require a </w:t>
      </w:r>
      <w:proofErr w:type="gramStart"/>
      <w:r>
        <w:t>telephone</w:t>
      </w:r>
      <w:proofErr w:type="gramEnd"/>
      <w:r>
        <w:t xml:space="preserve"> interview.  </w:t>
      </w:r>
    </w:p>
    <w:p w:rsidR="009E4E0C" w:rsidRPr="00570FEB" w:rsidRDefault="009E4E0C" w:rsidP="0036105B">
      <w:pPr>
        <w:pStyle w:val="NoSpacing"/>
        <w:numPr>
          <w:ilvl w:val="0"/>
          <w:numId w:val="5"/>
        </w:numPr>
        <w:rPr>
          <w:rFonts w:ascii="Times New Roman" w:hAnsi="Times New Roman" w:cs="Times New Roman"/>
          <w:i w:val="0"/>
          <w:sz w:val="24"/>
          <w:szCs w:val="24"/>
        </w:rPr>
      </w:pPr>
      <w:r w:rsidRPr="00570FEB">
        <w:rPr>
          <w:rFonts w:ascii="Times New Roman" w:hAnsi="Times New Roman" w:cs="Times New Roman"/>
          <w:i w:val="0"/>
          <w:sz w:val="24"/>
          <w:szCs w:val="24"/>
        </w:rPr>
        <w:t>Fifteen (15) days prior to the audit</w:t>
      </w:r>
      <w:r w:rsidR="00553259" w:rsidRPr="00570FEB">
        <w:rPr>
          <w:rFonts w:ascii="Times New Roman" w:hAnsi="Times New Roman" w:cs="Times New Roman"/>
          <w:i w:val="0"/>
          <w:sz w:val="24"/>
          <w:szCs w:val="24"/>
        </w:rPr>
        <w:t>,</w:t>
      </w:r>
      <w:r w:rsidRPr="00570FEB">
        <w:rPr>
          <w:rFonts w:ascii="Times New Roman" w:hAnsi="Times New Roman" w:cs="Times New Roman"/>
          <w:i w:val="0"/>
          <w:sz w:val="24"/>
          <w:szCs w:val="24"/>
        </w:rPr>
        <w:t xml:space="preserve"> grantees will be require</w:t>
      </w:r>
      <w:r w:rsidR="0036105B" w:rsidRPr="00570FEB">
        <w:rPr>
          <w:rFonts w:ascii="Times New Roman" w:hAnsi="Times New Roman" w:cs="Times New Roman"/>
          <w:i w:val="0"/>
          <w:sz w:val="24"/>
          <w:szCs w:val="24"/>
        </w:rPr>
        <w:t xml:space="preserve">d </w:t>
      </w:r>
      <w:r w:rsidR="00553259" w:rsidRPr="00570FEB">
        <w:rPr>
          <w:rFonts w:ascii="Times New Roman" w:hAnsi="Times New Roman" w:cs="Times New Roman"/>
          <w:i w:val="0"/>
          <w:sz w:val="24"/>
          <w:szCs w:val="24"/>
        </w:rPr>
        <w:t xml:space="preserve">to </w:t>
      </w:r>
      <w:r w:rsidR="0036105B" w:rsidRPr="00570FEB">
        <w:rPr>
          <w:rFonts w:ascii="Times New Roman" w:hAnsi="Times New Roman" w:cs="Times New Roman"/>
          <w:i w:val="0"/>
          <w:sz w:val="24"/>
          <w:szCs w:val="24"/>
        </w:rPr>
        <w:t>submit a detailed expenditure</w:t>
      </w:r>
      <w:r w:rsidRPr="00570FEB">
        <w:rPr>
          <w:rFonts w:ascii="Times New Roman" w:hAnsi="Times New Roman" w:cs="Times New Roman"/>
          <w:i w:val="0"/>
          <w:sz w:val="24"/>
          <w:szCs w:val="24"/>
        </w:rPr>
        <w:t xml:space="preserve"> </w:t>
      </w:r>
      <w:r w:rsidR="00751889" w:rsidRPr="00570FEB">
        <w:rPr>
          <w:rFonts w:ascii="Times New Roman" w:hAnsi="Times New Roman" w:cs="Times New Roman"/>
          <w:i w:val="0"/>
          <w:sz w:val="24"/>
          <w:szCs w:val="24"/>
        </w:rPr>
        <w:t xml:space="preserve">report (period to be determined at MDE’s discretion) </w:t>
      </w:r>
      <w:r w:rsidRPr="00570FEB">
        <w:rPr>
          <w:rFonts w:ascii="Times New Roman" w:hAnsi="Times New Roman" w:cs="Times New Roman"/>
          <w:i w:val="0"/>
          <w:sz w:val="24"/>
          <w:szCs w:val="24"/>
        </w:rPr>
        <w:t xml:space="preserve">along with supporting documentation such as receipts and invoices, a current personnel listing, and student progress reports to the MDE.  </w:t>
      </w:r>
    </w:p>
    <w:p w:rsidR="009E4E0C" w:rsidRPr="00570FEB" w:rsidRDefault="00553259" w:rsidP="0036105B">
      <w:pPr>
        <w:pStyle w:val="NoSpacing"/>
        <w:numPr>
          <w:ilvl w:val="0"/>
          <w:numId w:val="5"/>
        </w:numPr>
        <w:rPr>
          <w:rFonts w:ascii="Times New Roman" w:hAnsi="Times New Roman" w:cs="Times New Roman"/>
          <w:i w:val="0"/>
          <w:sz w:val="24"/>
          <w:szCs w:val="24"/>
        </w:rPr>
      </w:pPr>
      <w:r w:rsidRPr="00570FEB">
        <w:rPr>
          <w:rFonts w:ascii="Times New Roman" w:hAnsi="Times New Roman" w:cs="Times New Roman"/>
          <w:i w:val="0"/>
          <w:sz w:val="24"/>
          <w:szCs w:val="24"/>
        </w:rPr>
        <w:t>B</w:t>
      </w:r>
      <w:r w:rsidR="009E4E0C" w:rsidRPr="00570FEB">
        <w:rPr>
          <w:rFonts w:ascii="Times New Roman" w:hAnsi="Times New Roman" w:cs="Times New Roman"/>
          <w:i w:val="0"/>
          <w:sz w:val="24"/>
          <w:szCs w:val="24"/>
        </w:rPr>
        <w:t>efore the telephone interview, MDE staff will review documentation submitted.</w:t>
      </w:r>
    </w:p>
    <w:p w:rsidR="009E4E0C" w:rsidRPr="00570FEB" w:rsidRDefault="009E4E0C" w:rsidP="0036105B">
      <w:pPr>
        <w:pStyle w:val="NoSpacing"/>
        <w:numPr>
          <w:ilvl w:val="0"/>
          <w:numId w:val="5"/>
        </w:numPr>
        <w:rPr>
          <w:rFonts w:ascii="Times New Roman" w:hAnsi="Times New Roman" w:cs="Times New Roman"/>
          <w:i w:val="0"/>
          <w:sz w:val="24"/>
          <w:szCs w:val="24"/>
        </w:rPr>
      </w:pPr>
      <w:r w:rsidRPr="00570FEB">
        <w:rPr>
          <w:rFonts w:ascii="Times New Roman" w:hAnsi="Times New Roman" w:cs="Times New Roman"/>
          <w:i w:val="0"/>
          <w:sz w:val="24"/>
          <w:szCs w:val="24"/>
        </w:rPr>
        <w:t>During the telephone interview, grantees will be asked questions regarding program design, operation, and management.</w:t>
      </w:r>
    </w:p>
    <w:p w:rsidR="0036105B" w:rsidRPr="00570FEB" w:rsidRDefault="0036105B" w:rsidP="0036105B">
      <w:pPr>
        <w:pStyle w:val="NoSpacing"/>
        <w:ind w:left="720"/>
        <w:rPr>
          <w:rFonts w:ascii="Times New Roman" w:hAnsi="Times New Roman" w:cs="Times New Roman"/>
          <w:i w:val="0"/>
          <w:sz w:val="24"/>
          <w:szCs w:val="24"/>
        </w:rPr>
      </w:pPr>
    </w:p>
    <w:p w:rsidR="009E4E0C" w:rsidRPr="00570FEB" w:rsidRDefault="009E4E0C" w:rsidP="0036105B">
      <w:pPr>
        <w:pStyle w:val="NoSpacing"/>
        <w:numPr>
          <w:ilvl w:val="0"/>
          <w:numId w:val="5"/>
        </w:numPr>
        <w:rPr>
          <w:rFonts w:ascii="Times New Roman" w:hAnsi="Times New Roman" w:cs="Times New Roman"/>
          <w:i w:val="0"/>
          <w:sz w:val="24"/>
          <w:szCs w:val="24"/>
        </w:rPr>
      </w:pPr>
      <w:r w:rsidRPr="00570FEB">
        <w:rPr>
          <w:rFonts w:ascii="Times New Roman" w:hAnsi="Times New Roman" w:cs="Times New Roman"/>
          <w:i w:val="0"/>
          <w:sz w:val="24"/>
          <w:szCs w:val="24"/>
        </w:rPr>
        <w:t xml:space="preserve">After the interview, MDE staff will prepare an audit report and mail it to the </w:t>
      </w:r>
      <w:r w:rsidR="0036105B" w:rsidRPr="00570FEB">
        <w:rPr>
          <w:rFonts w:ascii="Times New Roman" w:hAnsi="Times New Roman" w:cs="Times New Roman"/>
          <w:i w:val="0"/>
          <w:sz w:val="24"/>
          <w:szCs w:val="24"/>
        </w:rPr>
        <w:t>G</w:t>
      </w:r>
      <w:r w:rsidRPr="00570FEB">
        <w:rPr>
          <w:rFonts w:ascii="Times New Roman" w:hAnsi="Times New Roman" w:cs="Times New Roman"/>
          <w:i w:val="0"/>
          <w:sz w:val="24"/>
          <w:szCs w:val="24"/>
        </w:rPr>
        <w:t>rantee.</w:t>
      </w:r>
    </w:p>
    <w:p w:rsidR="009E4E0C" w:rsidRDefault="009E4E0C" w:rsidP="0036105B">
      <w:pPr>
        <w:pStyle w:val="NoSpacing"/>
        <w:numPr>
          <w:ilvl w:val="0"/>
          <w:numId w:val="5"/>
        </w:numPr>
        <w:rPr>
          <w:rFonts w:ascii="Times New Roman" w:hAnsi="Times New Roman" w:cs="Times New Roman"/>
          <w:i w:val="0"/>
          <w:sz w:val="24"/>
          <w:szCs w:val="24"/>
        </w:rPr>
      </w:pPr>
      <w:r w:rsidRPr="00570FEB">
        <w:rPr>
          <w:rFonts w:ascii="Times New Roman" w:hAnsi="Times New Roman" w:cs="Times New Roman"/>
          <w:i w:val="0"/>
          <w:sz w:val="24"/>
          <w:szCs w:val="24"/>
        </w:rPr>
        <w:t>Grantees will have 30 days from receipt of the re</w:t>
      </w:r>
      <w:r w:rsidR="00FE4717">
        <w:rPr>
          <w:rFonts w:ascii="Times New Roman" w:hAnsi="Times New Roman" w:cs="Times New Roman"/>
          <w:i w:val="0"/>
          <w:sz w:val="24"/>
          <w:szCs w:val="24"/>
        </w:rPr>
        <w:t>port to respond (if applicable).  The grantee may be required to submit additional documentation.</w:t>
      </w:r>
    </w:p>
    <w:p w:rsidR="00FE4717" w:rsidRPr="009E4E0C" w:rsidRDefault="00FE4717" w:rsidP="00FE4717">
      <w:pPr>
        <w:numPr>
          <w:ilvl w:val="0"/>
          <w:numId w:val="5"/>
        </w:numPr>
        <w:spacing w:after="100" w:afterAutospacing="1"/>
      </w:pPr>
      <w:r w:rsidRPr="009E4E0C">
        <w:t>MDE staff will review documentation to determine if it is sufficient to clear any citations of noncompliance, and to insure that the appropriate corrective action has been developed within thirty (30) days of receipt of response and inform the Grantee of the status of their monitoring report as follows:</w:t>
      </w:r>
    </w:p>
    <w:p w:rsidR="00FE4717" w:rsidRPr="009E4E0C" w:rsidRDefault="00FE4717" w:rsidP="00FE4717">
      <w:pPr>
        <w:numPr>
          <w:ilvl w:val="1"/>
          <w:numId w:val="5"/>
        </w:numPr>
        <w:spacing w:after="100" w:afterAutospacing="1"/>
      </w:pPr>
      <w:r w:rsidRPr="009E4E0C">
        <w:t>Cleared</w:t>
      </w:r>
    </w:p>
    <w:p w:rsidR="00FE4717" w:rsidRPr="009E4E0C" w:rsidRDefault="00FE4717" w:rsidP="00FE4717">
      <w:pPr>
        <w:numPr>
          <w:ilvl w:val="1"/>
          <w:numId w:val="5"/>
        </w:numPr>
        <w:spacing w:after="100" w:afterAutospacing="1"/>
      </w:pPr>
      <w:r w:rsidRPr="009E4E0C">
        <w:t>Remains open pending additional information</w:t>
      </w:r>
    </w:p>
    <w:p w:rsidR="00FE4717" w:rsidRPr="009E4E0C" w:rsidRDefault="00FE4717" w:rsidP="00FE4717">
      <w:pPr>
        <w:numPr>
          <w:ilvl w:val="1"/>
          <w:numId w:val="5"/>
        </w:numPr>
        <w:spacing w:after="100" w:afterAutospacing="1"/>
      </w:pPr>
      <w:r w:rsidRPr="009E4E0C">
        <w:t>Unresolved pending follow-up visit</w:t>
      </w:r>
    </w:p>
    <w:p w:rsidR="0036105B" w:rsidRPr="00570FEB" w:rsidRDefault="0036105B" w:rsidP="00751889">
      <w:pPr>
        <w:jc w:val="center"/>
        <w:rPr>
          <w:b/>
        </w:rPr>
      </w:pPr>
    </w:p>
    <w:p w:rsidR="009E4E0C" w:rsidRPr="00570FEB" w:rsidRDefault="009E4E0C" w:rsidP="00751889">
      <w:pPr>
        <w:jc w:val="center"/>
        <w:rPr>
          <w:b/>
          <w:i/>
        </w:rPr>
      </w:pPr>
      <w:r w:rsidRPr="00570FEB">
        <w:rPr>
          <w:b/>
        </w:rPr>
        <w:t>Close-</w:t>
      </w:r>
      <w:proofErr w:type="gramStart"/>
      <w:r w:rsidRPr="00570FEB">
        <w:rPr>
          <w:b/>
        </w:rPr>
        <w:t xml:space="preserve">out </w:t>
      </w:r>
      <w:r w:rsidR="00B11BFB" w:rsidRPr="00570FEB">
        <w:rPr>
          <w:b/>
        </w:rPr>
        <w:t xml:space="preserve"> Monitoring</w:t>
      </w:r>
      <w:proofErr w:type="gramEnd"/>
    </w:p>
    <w:p w:rsidR="009E4E0C" w:rsidRPr="00570FEB" w:rsidRDefault="009E4E0C" w:rsidP="00751889">
      <w:pPr>
        <w:jc w:val="center"/>
        <w:rPr>
          <w:b/>
          <w:i/>
        </w:rPr>
      </w:pPr>
      <w:r w:rsidRPr="00570FEB">
        <w:rPr>
          <w:b/>
        </w:rPr>
        <w:t>Year 5 Grantees</w:t>
      </w:r>
    </w:p>
    <w:p w:rsidR="009E4E0C" w:rsidRPr="00570FEB" w:rsidRDefault="009E4E0C" w:rsidP="00751889">
      <w:pPr>
        <w:jc w:val="center"/>
        <w:rPr>
          <w:i/>
        </w:rPr>
      </w:pPr>
    </w:p>
    <w:p w:rsidR="009E4E0C" w:rsidRPr="00570FEB" w:rsidRDefault="009E4E0C" w:rsidP="0036105B">
      <w:pPr>
        <w:pStyle w:val="NoSpacing"/>
        <w:numPr>
          <w:ilvl w:val="0"/>
          <w:numId w:val="6"/>
        </w:numPr>
        <w:rPr>
          <w:rFonts w:ascii="Times New Roman" w:hAnsi="Times New Roman" w:cs="Times New Roman"/>
          <w:i w:val="0"/>
          <w:sz w:val="24"/>
          <w:szCs w:val="24"/>
        </w:rPr>
      </w:pPr>
      <w:r w:rsidRPr="00570FEB">
        <w:rPr>
          <w:rFonts w:ascii="Times New Roman" w:hAnsi="Times New Roman" w:cs="Times New Roman"/>
          <w:i w:val="0"/>
          <w:sz w:val="24"/>
          <w:szCs w:val="24"/>
        </w:rPr>
        <w:t xml:space="preserve">After receipt of </w:t>
      </w:r>
      <w:r w:rsidR="0036105B" w:rsidRPr="00570FEB">
        <w:rPr>
          <w:rFonts w:ascii="Times New Roman" w:hAnsi="Times New Roman" w:cs="Times New Roman"/>
          <w:i w:val="0"/>
          <w:sz w:val="24"/>
          <w:szCs w:val="24"/>
        </w:rPr>
        <w:t xml:space="preserve">the </w:t>
      </w:r>
      <w:r w:rsidRPr="00570FEB">
        <w:rPr>
          <w:rFonts w:ascii="Times New Roman" w:hAnsi="Times New Roman" w:cs="Times New Roman"/>
          <w:i w:val="0"/>
          <w:sz w:val="24"/>
          <w:szCs w:val="24"/>
        </w:rPr>
        <w:t xml:space="preserve">Year-End Performance Report, </w:t>
      </w:r>
      <w:r w:rsidR="0036105B" w:rsidRPr="00570FEB">
        <w:rPr>
          <w:rFonts w:ascii="Times New Roman" w:hAnsi="Times New Roman" w:cs="Times New Roman"/>
          <w:i w:val="0"/>
          <w:sz w:val="24"/>
          <w:szCs w:val="24"/>
        </w:rPr>
        <w:t>c</w:t>
      </w:r>
      <w:r w:rsidRPr="00570FEB">
        <w:rPr>
          <w:rFonts w:ascii="Times New Roman" w:hAnsi="Times New Roman" w:cs="Times New Roman"/>
          <w:i w:val="0"/>
          <w:sz w:val="24"/>
          <w:szCs w:val="24"/>
        </w:rPr>
        <w:t>ompletion of</w:t>
      </w:r>
      <w:r w:rsidR="0036105B" w:rsidRPr="00570FEB">
        <w:rPr>
          <w:rFonts w:ascii="Times New Roman" w:hAnsi="Times New Roman" w:cs="Times New Roman"/>
          <w:i w:val="0"/>
          <w:sz w:val="24"/>
          <w:szCs w:val="24"/>
        </w:rPr>
        <w:t xml:space="preserve"> the</w:t>
      </w:r>
      <w:r w:rsidRPr="00570FEB">
        <w:rPr>
          <w:rFonts w:ascii="Times New Roman" w:hAnsi="Times New Roman" w:cs="Times New Roman"/>
          <w:i w:val="0"/>
          <w:sz w:val="24"/>
          <w:szCs w:val="24"/>
        </w:rPr>
        <w:t xml:space="preserve"> Profile and Performance Information Collection System (PPICS)</w:t>
      </w:r>
      <w:r w:rsidR="0036105B" w:rsidRPr="00570FEB">
        <w:rPr>
          <w:rFonts w:ascii="Times New Roman" w:hAnsi="Times New Roman" w:cs="Times New Roman"/>
          <w:i w:val="0"/>
          <w:sz w:val="24"/>
          <w:szCs w:val="24"/>
        </w:rPr>
        <w:t xml:space="preserve"> data</w:t>
      </w:r>
      <w:r w:rsidRPr="00570FEB">
        <w:rPr>
          <w:rFonts w:ascii="Times New Roman" w:hAnsi="Times New Roman" w:cs="Times New Roman"/>
          <w:i w:val="0"/>
          <w:sz w:val="24"/>
          <w:szCs w:val="24"/>
        </w:rPr>
        <w:t xml:space="preserve">, Final Evaluation Report, Final Request for Funds, Breakdown of Expenditures expended over the five year period and Inventory </w:t>
      </w:r>
      <w:r w:rsidR="0036105B" w:rsidRPr="00570FEB">
        <w:rPr>
          <w:rFonts w:ascii="Times New Roman" w:hAnsi="Times New Roman" w:cs="Times New Roman"/>
          <w:i w:val="0"/>
          <w:sz w:val="24"/>
          <w:szCs w:val="24"/>
        </w:rPr>
        <w:t>L</w:t>
      </w:r>
      <w:r w:rsidRPr="00570FEB">
        <w:rPr>
          <w:rFonts w:ascii="Times New Roman" w:hAnsi="Times New Roman" w:cs="Times New Roman"/>
          <w:i w:val="0"/>
          <w:sz w:val="24"/>
          <w:szCs w:val="24"/>
        </w:rPr>
        <w:t>og of equipment purchases</w:t>
      </w:r>
      <w:r w:rsidR="0036105B" w:rsidRPr="00570FEB">
        <w:rPr>
          <w:rFonts w:ascii="Times New Roman" w:hAnsi="Times New Roman" w:cs="Times New Roman"/>
          <w:i w:val="0"/>
          <w:sz w:val="24"/>
          <w:szCs w:val="24"/>
        </w:rPr>
        <w:t>,</w:t>
      </w:r>
      <w:r w:rsidR="007C676B" w:rsidRPr="00570FEB">
        <w:rPr>
          <w:rFonts w:ascii="Times New Roman" w:hAnsi="Times New Roman" w:cs="Times New Roman"/>
          <w:i w:val="0"/>
          <w:sz w:val="24"/>
          <w:szCs w:val="24"/>
        </w:rPr>
        <w:t xml:space="preserve"> the MDE will conduct a </w:t>
      </w:r>
      <w:r w:rsidR="0036105B" w:rsidRPr="00570FEB">
        <w:rPr>
          <w:rFonts w:ascii="Times New Roman" w:hAnsi="Times New Roman" w:cs="Times New Roman"/>
          <w:i w:val="0"/>
          <w:sz w:val="24"/>
          <w:szCs w:val="24"/>
        </w:rPr>
        <w:t>c</w:t>
      </w:r>
      <w:r w:rsidR="007C676B" w:rsidRPr="00570FEB">
        <w:rPr>
          <w:rFonts w:ascii="Times New Roman" w:hAnsi="Times New Roman" w:cs="Times New Roman"/>
          <w:i w:val="0"/>
          <w:sz w:val="24"/>
          <w:szCs w:val="24"/>
        </w:rPr>
        <w:t>lose-out visit.</w:t>
      </w:r>
    </w:p>
    <w:p w:rsidR="009E4E0C" w:rsidRPr="00570FEB" w:rsidRDefault="009E4E0C" w:rsidP="0036105B">
      <w:pPr>
        <w:pStyle w:val="NoSpacing"/>
        <w:numPr>
          <w:ilvl w:val="0"/>
          <w:numId w:val="6"/>
        </w:numPr>
        <w:rPr>
          <w:rFonts w:eastAsia="Calibri"/>
        </w:rPr>
      </w:pPr>
      <w:r w:rsidRPr="00570FEB">
        <w:rPr>
          <w:rFonts w:ascii="Times New Roman" w:hAnsi="Times New Roman" w:cs="Times New Roman"/>
          <w:i w:val="0"/>
          <w:sz w:val="24"/>
          <w:szCs w:val="24"/>
        </w:rPr>
        <w:t>During the visit</w:t>
      </w:r>
      <w:r w:rsidR="00553259" w:rsidRPr="00570FEB">
        <w:rPr>
          <w:rFonts w:ascii="Times New Roman" w:hAnsi="Times New Roman" w:cs="Times New Roman"/>
          <w:i w:val="0"/>
          <w:sz w:val="24"/>
          <w:szCs w:val="24"/>
        </w:rPr>
        <w:t>,</w:t>
      </w:r>
      <w:r w:rsidRPr="00570FEB">
        <w:rPr>
          <w:rFonts w:ascii="Times New Roman" w:hAnsi="Times New Roman" w:cs="Times New Roman"/>
          <w:i w:val="0"/>
          <w:sz w:val="24"/>
          <w:szCs w:val="24"/>
        </w:rPr>
        <w:t xml:space="preserve"> a closing inventory will be conducted for property purchased with 21</w:t>
      </w:r>
      <w:r w:rsidRPr="00570FEB">
        <w:rPr>
          <w:rFonts w:ascii="Times New Roman" w:hAnsi="Times New Roman" w:cs="Times New Roman"/>
          <w:i w:val="0"/>
          <w:sz w:val="24"/>
          <w:szCs w:val="24"/>
          <w:vertAlign w:val="superscript"/>
        </w:rPr>
        <w:t>st</w:t>
      </w:r>
      <w:r w:rsidRPr="00570FEB">
        <w:rPr>
          <w:rFonts w:ascii="Times New Roman" w:hAnsi="Times New Roman" w:cs="Times New Roman"/>
          <w:i w:val="0"/>
          <w:sz w:val="24"/>
          <w:szCs w:val="24"/>
        </w:rPr>
        <w:t xml:space="preserve"> CCLC funds program and sustainability efforts will be evaluated.</w:t>
      </w:r>
      <w:r w:rsidRPr="00570FEB">
        <w:rPr>
          <w:rFonts w:ascii="Times New Roman" w:eastAsia="Calibri" w:hAnsi="Times New Roman" w:cs="Times New Roman"/>
          <w:i w:val="0"/>
          <w:sz w:val="24"/>
          <w:szCs w:val="24"/>
        </w:rPr>
        <w:t xml:space="preserve">  In order to retain use of </w:t>
      </w:r>
      <w:r w:rsidR="00EC21C7" w:rsidRPr="00570FEB">
        <w:rPr>
          <w:rFonts w:ascii="Times New Roman" w:eastAsia="Calibri" w:hAnsi="Times New Roman" w:cs="Times New Roman"/>
          <w:i w:val="0"/>
          <w:sz w:val="24"/>
          <w:szCs w:val="24"/>
        </w:rPr>
        <w:t>inventory items</w:t>
      </w:r>
      <w:r w:rsidRPr="00570FEB">
        <w:rPr>
          <w:rFonts w:ascii="Times New Roman" w:eastAsia="Calibri" w:hAnsi="Times New Roman" w:cs="Times New Roman"/>
          <w:i w:val="0"/>
          <w:sz w:val="24"/>
          <w:szCs w:val="24"/>
        </w:rPr>
        <w:t xml:space="preserve">, </w:t>
      </w:r>
      <w:r w:rsidR="00EC21C7" w:rsidRPr="00570FEB">
        <w:rPr>
          <w:rFonts w:ascii="Times New Roman" w:eastAsia="Calibri" w:hAnsi="Times New Roman" w:cs="Times New Roman"/>
          <w:i w:val="0"/>
          <w:sz w:val="24"/>
          <w:szCs w:val="24"/>
        </w:rPr>
        <w:t xml:space="preserve">the </w:t>
      </w:r>
      <w:r w:rsidRPr="00570FEB">
        <w:rPr>
          <w:rFonts w:ascii="Times New Roman" w:eastAsia="Calibri" w:hAnsi="Times New Roman" w:cs="Times New Roman"/>
          <w:i w:val="0"/>
          <w:sz w:val="24"/>
          <w:szCs w:val="24"/>
        </w:rPr>
        <w:t>grantee must clearly demonstrate that a sixth year of out-of-school programming will exist and that the items will be used in a manner consistent with the initial intent of purchase.  The MDE will make the final decision about which disposition option is to be followed, and additional instructions will b</w:t>
      </w:r>
      <w:r w:rsidRPr="00570FEB">
        <w:rPr>
          <w:rFonts w:ascii="Times New Roman" w:hAnsi="Times New Roman" w:cs="Times New Roman"/>
          <w:i w:val="0"/>
          <w:sz w:val="24"/>
          <w:szCs w:val="24"/>
        </w:rPr>
        <w:t xml:space="preserve">e provided to those </w:t>
      </w:r>
      <w:r w:rsidR="00EC21C7" w:rsidRPr="00570FEB">
        <w:rPr>
          <w:rFonts w:ascii="Times New Roman" w:hAnsi="Times New Roman" w:cs="Times New Roman"/>
          <w:i w:val="0"/>
          <w:sz w:val="24"/>
          <w:szCs w:val="24"/>
        </w:rPr>
        <w:t>grantees</w:t>
      </w:r>
      <w:r w:rsidRPr="00570FEB">
        <w:rPr>
          <w:rFonts w:eastAsia="Calibri"/>
        </w:rPr>
        <w:t>.</w:t>
      </w:r>
    </w:p>
    <w:p w:rsidR="009E4E0C" w:rsidRPr="009E4E0C" w:rsidRDefault="009E4E0C" w:rsidP="00751889"/>
    <w:sectPr w:rsidR="009E4E0C" w:rsidRPr="009E4E0C" w:rsidSect="00BD42B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CA0" w:rsidRDefault="00F55CA0" w:rsidP="009E4E0C">
      <w:r>
        <w:separator/>
      </w:r>
    </w:p>
  </w:endnote>
  <w:endnote w:type="continuationSeparator" w:id="0">
    <w:p w:rsidR="00F55CA0" w:rsidRDefault="00F55CA0" w:rsidP="009E4E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B6" w:rsidRDefault="00074DB6">
    <w:pPr>
      <w:pStyle w:val="Footer"/>
    </w:pPr>
    <w:r>
      <w:t>February 2011</w:t>
    </w:r>
  </w:p>
  <w:p w:rsidR="00074DB6" w:rsidRDefault="00074D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CA0" w:rsidRDefault="00F55CA0" w:rsidP="009E4E0C">
      <w:r>
        <w:separator/>
      </w:r>
    </w:p>
  </w:footnote>
  <w:footnote w:type="continuationSeparator" w:id="0">
    <w:p w:rsidR="00F55CA0" w:rsidRDefault="00F55CA0" w:rsidP="009E4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0C" w:rsidRDefault="00074DB6" w:rsidP="00074DB6">
    <w:pPr>
      <w:pStyle w:val="Header"/>
      <w:jc w:val="center"/>
    </w:pPr>
    <w:r>
      <w:t xml:space="preserve">Mississippi Department of Education </w:t>
    </w:r>
  </w:p>
  <w:p w:rsidR="00074DB6" w:rsidRDefault="00074DB6" w:rsidP="00074DB6">
    <w:pPr>
      <w:pStyle w:val="Header"/>
      <w:jc w:val="center"/>
    </w:pPr>
    <w:r>
      <w:t>21</w:t>
    </w:r>
    <w:r w:rsidRPr="00074DB6">
      <w:rPr>
        <w:vertAlign w:val="superscript"/>
      </w:rPr>
      <w:t>st</w:t>
    </w:r>
    <w:r>
      <w:t xml:space="preserve"> Century Community Learning Centers (CCLC) Program</w:t>
    </w:r>
  </w:p>
  <w:p w:rsidR="00074DB6" w:rsidRDefault="00074DB6" w:rsidP="00074DB6">
    <w:pPr>
      <w:pStyle w:val="Header"/>
      <w:jc w:val="center"/>
    </w:pPr>
    <w:r>
      <w:t>Monitoring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2B2B"/>
    <w:multiLevelType w:val="hybridMultilevel"/>
    <w:tmpl w:val="BB14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455F8"/>
    <w:multiLevelType w:val="hybridMultilevel"/>
    <w:tmpl w:val="3A8690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CA13AD"/>
    <w:multiLevelType w:val="hybridMultilevel"/>
    <w:tmpl w:val="8FA4F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87054"/>
    <w:multiLevelType w:val="hybridMultilevel"/>
    <w:tmpl w:val="5EF6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020BC7"/>
    <w:multiLevelType w:val="hybridMultilevel"/>
    <w:tmpl w:val="203C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4562E9"/>
    <w:multiLevelType w:val="hybridMultilevel"/>
    <w:tmpl w:val="3218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2254"/>
    <w:rsid w:val="00074DB6"/>
    <w:rsid w:val="000E7367"/>
    <w:rsid w:val="000F4CF8"/>
    <w:rsid w:val="002E7719"/>
    <w:rsid w:val="00312254"/>
    <w:rsid w:val="0036105B"/>
    <w:rsid w:val="003B2895"/>
    <w:rsid w:val="004216B7"/>
    <w:rsid w:val="004E44B7"/>
    <w:rsid w:val="00532529"/>
    <w:rsid w:val="00553259"/>
    <w:rsid w:val="0055499E"/>
    <w:rsid w:val="00570FEB"/>
    <w:rsid w:val="00583C35"/>
    <w:rsid w:val="006557AB"/>
    <w:rsid w:val="006B104E"/>
    <w:rsid w:val="00751889"/>
    <w:rsid w:val="00775929"/>
    <w:rsid w:val="00790E18"/>
    <w:rsid w:val="007C676B"/>
    <w:rsid w:val="007F412B"/>
    <w:rsid w:val="009E4E0C"/>
    <w:rsid w:val="00A7200A"/>
    <w:rsid w:val="00A7472D"/>
    <w:rsid w:val="00AB0AC4"/>
    <w:rsid w:val="00B11BFB"/>
    <w:rsid w:val="00BD42B7"/>
    <w:rsid w:val="00C47FEB"/>
    <w:rsid w:val="00CF4E09"/>
    <w:rsid w:val="00D70F82"/>
    <w:rsid w:val="00E1526F"/>
    <w:rsid w:val="00EC21C7"/>
    <w:rsid w:val="00F55CA0"/>
    <w:rsid w:val="00F82D35"/>
    <w:rsid w:val="00FC46E0"/>
    <w:rsid w:val="00FE4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54"/>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0F4CF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0F4CF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unhideWhenUsed/>
    <w:qFormat/>
    <w:rsid w:val="000F4CF8"/>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unhideWhenUsed/>
    <w:qFormat/>
    <w:rsid w:val="000F4CF8"/>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unhideWhenUsed/>
    <w:qFormat/>
    <w:rsid w:val="000F4CF8"/>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unhideWhenUsed/>
    <w:qFormat/>
    <w:rsid w:val="000F4CF8"/>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unhideWhenUsed/>
    <w:qFormat/>
    <w:rsid w:val="000F4CF8"/>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unhideWhenUsed/>
    <w:qFormat/>
    <w:rsid w:val="000F4CF8"/>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unhideWhenUsed/>
    <w:qFormat/>
    <w:rsid w:val="000F4CF8"/>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CF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0F4CF8"/>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0F4CF8"/>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0F4CF8"/>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rsid w:val="000F4CF8"/>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rsid w:val="000F4CF8"/>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rsid w:val="000F4CF8"/>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rsid w:val="000F4CF8"/>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rsid w:val="000F4CF8"/>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0F4CF8"/>
    <w:pPr>
      <w:spacing w:after="200" w:line="288" w:lineRule="auto"/>
    </w:pPr>
    <w:rPr>
      <w:rFonts w:asciiTheme="minorHAnsi" w:eastAsiaTheme="minorHAnsi" w:hAnsiTheme="minorHAnsi" w:cstheme="minorBidi"/>
      <w:b/>
      <w:bCs/>
      <w:i/>
      <w:iCs/>
      <w:color w:val="943634" w:themeColor="accent2" w:themeShade="BF"/>
      <w:sz w:val="18"/>
      <w:szCs w:val="18"/>
      <w:lang w:bidi="en-US"/>
    </w:rPr>
  </w:style>
  <w:style w:type="paragraph" w:styleId="Title">
    <w:name w:val="Title"/>
    <w:basedOn w:val="Normal"/>
    <w:next w:val="Normal"/>
    <w:link w:val="TitleChar"/>
    <w:uiPriority w:val="10"/>
    <w:qFormat/>
    <w:rsid w:val="000F4CF8"/>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0F4CF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0F4CF8"/>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0F4CF8"/>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0F4CF8"/>
    <w:rPr>
      <w:b/>
      <w:bCs/>
      <w:spacing w:val="0"/>
    </w:rPr>
  </w:style>
  <w:style w:type="character" w:styleId="Emphasis">
    <w:name w:val="Emphasis"/>
    <w:uiPriority w:val="20"/>
    <w:qFormat/>
    <w:rsid w:val="000F4CF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0F4CF8"/>
    <w:rPr>
      <w:rFonts w:asciiTheme="minorHAnsi" w:eastAsiaTheme="minorHAnsi" w:hAnsiTheme="minorHAnsi" w:cstheme="minorBidi"/>
      <w:i/>
      <w:iCs/>
      <w:sz w:val="20"/>
      <w:szCs w:val="20"/>
      <w:lang w:bidi="en-US"/>
    </w:rPr>
  </w:style>
  <w:style w:type="paragraph" w:styleId="ListParagraph">
    <w:name w:val="List Paragraph"/>
    <w:basedOn w:val="Normal"/>
    <w:uiPriority w:val="34"/>
    <w:qFormat/>
    <w:rsid w:val="000F4CF8"/>
    <w:pPr>
      <w:spacing w:after="200" w:line="288" w:lineRule="auto"/>
      <w:ind w:left="720"/>
      <w:contextualSpacing/>
    </w:pPr>
    <w:rPr>
      <w:rFonts w:asciiTheme="minorHAnsi" w:eastAsiaTheme="minorHAnsi" w:hAnsiTheme="minorHAnsi" w:cstheme="minorBidi"/>
      <w:i/>
      <w:iCs/>
      <w:sz w:val="20"/>
      <w:szCs w:val="20"/>
      <w:lang w:bidi="en-US"/>
    </w:rPr>
  </w:style>
  <w:style w:type="paragraph" w:styleId="Quote">
    <w:name w:val="Quote"/>
    <w:basedOn w:val="Normal"/>
    <w:next w:val="Normal"/>
    <w:link w:val="QuoteChar"/>
    <w:uiPriority w:val="29"/>
    <w:qFormat/>
    <w:rsid w:val="000F4CF8"/>
    <w:pPr>
      <w:spacing w:after="200" w:line="288" w:lineRule="auto"/>
    </w:pPr>
    <w:rPr>
      <w:rFonts w:asciiTheme="minorHAnsi" w:eastAsiaTheme="minorHAnsi" w:hAnsiTheme="minorHAnsi" w:cstheme="minorBidi"/>
      <w:color w:val="943634" w:themeColor="accent2" w:themeShade="BF"/>
      <w:sz w:val="20"/>
      <w:szCs w:val="20"/>
      <w:lang w:bidi="en-US"/>
    </w:rPr>
  </w:style>
  <w:style w:type="character" w:customStyle="1" w:styleId="QuoteChar">
    <w:name w:val="Quote Char"/>
    <w:basedOn w:val="DefaultParagraphFont"/>
    <w:link w:val="Quote"/>
    <w:uiPriority w:val="29"/>
    <w:rsid w:val="000F4CF8"/>
    <w:rPr>
      <w:color w:val="943634" w:themeColor="accent2" w:themeShade="BF"/>
      <w:sz w:val="20"/>
      <w:szCs w:val="20"/>
    </w:rPr>
  </w:style>
  <w:style w:type="paragraph" w:styleId="IntenseQuote">
    <w:name w:val="Intense Quote"/>
    <w:basedOn w:val="Normal"/>
    <w:next w:val="Normal"/>
    <w:link w:val="IntenseQuoteChar"/>
    <w:uiPriority w:val="30"/>
    <w:qFormat/>
    <w:rsid w:val="000F4CF8"/>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0F4CF8"/>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0F4CF8"/>
    <w:rPr>
      <w:rFonts w:asciiTheme="majorHAnsi" w:eastAsiaTheme="majorEastAsia" w:hAnsiTheme="majorHAnsi" w:cstheme="majorBidi"/>
      <w:i/>
      <w:iCs/>
      <w:color w:val="C0504D" w:themeColor="accent2"/>
    </w:rPr>
  </w:style>
  <w:style w:type="character" w:styleId="IntenseEmphasis">
    <w:name w:val="Intense Emphasis"/>
    <w:uiPriority w:val="21"/>
    <w:qFormat/>
    <w:rsid w:val="000F4CF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0F4CF8"/>
    <w:rPr>
      <w:i/>
      <w:iCs/>
      <w:smallCaps/>
      <w:color w:val="C0504D" w:themeColor="accent2"/>
      <w:u w:color="C0504D" w:themeColor="accent2"/>
    </w:rPr>
  </w:style>
  <w:style w:type="character" w:styleId="IntenseReference">
    <w:name w:val="Intense Reference"/>
    <w:uiPriority w:val="32"/>
    <w:qFormat/>
    <w:rsid w:val="000F4CF8"/>
    <w:rPr>
      <w:b/>
      <w:bCs/>
      <w:i/>
      <w:iCs/>
      <w:smallCaps/>
      <w:color w:val="C0504D" w:themeColor="accent2"/>
      <w:u w:color="C0504D" w:themeColor="accent2"/>
    </w:rPr>
  </w:style>
  <w:style w:type="character" w:styleId="BookTitle">
    <w:name w:val="Book Title"/>
    <w:uiPriority w:val="33"/>
    <w:qFormat/>
    <w:rsid w:val="000F4CF8"/>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0F4CF8"/>
    <w:pPr>
      <w:outlineLvl w:val="9"/>
    </w:pPr>
  </w:style>
  <w:style w:type="paragraph" w:styleId="Header">
    <w:name w:val="header"/>
    <w:basedOn w:val="Normal"/>
    <w:link w:val="HeaderChar"/>
    <w:uiPriority w:val="99"/>
    <w:unhideWhenUsed/>
    <w:rsid w:val="009E4E0C"/>
    <w:pPr>
      <w:tabs>
        <w:tab w:val="center" w:pos="4680"/>
        <w:tab w:val="right" w:pos="9360"/>
      </w:tabs>
    </w:pPr>
  </w:style>
  <w:style w:type="character" w:customStyle="1" w:styleId="HeaderChar">
    <w:name w:val="Header Char"/>
    <w:basedOn w:val="DefaultParagraphFont"/>
    <w:link w:val="Header"/>
    <w:uiPriority w:val="99"/>
    <w:rsid w:val="009E4E0C"/>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9E4E0C"/>
    <w:pPr>
      <w:tabs>
        <w:tab w:val="center" w:pos="4680"/>
        <w:tab w:val="right" w:pos="9360"/>
      </w:tabs>
    </w:pPr>
  </w:style>
  <w:style w:type="character" w:customStyle="1" w:styleId="FooterChar">
    <w:name w:val="Footer Char"/>
    <w:basedOn w:val="DefaultParagraphFont"/>
    <w:link w:val="Footer"/>
    <w:uiPriority w:val="99"/>
    <w:rsid w:val="009E4E0C"/>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9E4E0C"/>
    <w:rPr>
      <w:rFonts w:ascii="Tahoma" w:hAnsi="Tahoma" w:cs="Tahoma"/>
      <w:sz w:val="16"/>
      <w:szCs w:val="16"/>
    </w:rPr>
  </w:style>
  <w:style w:type="character" w:customStyle="1" w:styleId="BalloonTextChar">
    <w:name w:val="Balloon Text Char"/>
    <w:basedOn w:val="DefaultParagraphFont"/>
    <w:link w:val="BalloonText"/>
    <w:uiPriority w:val="99"/>
    <w:semiHidden/>
    <w:rsid w:val="009E4E0C"/>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Mississippi Department of Education</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KAustin</dc:creator>
  <cp:keywords/>
  <dc:description/>
  <cp:lastModifiedBy>KAustin</cp:lastModifiedBy>
  <cp:revision>2</cp:revision>
  <cp:lastPrinted>2011-02-28T17:11:00Z</cp:lastPrinted>
  <dcterms:created xsi:type="dcterms:W3CDTF">2013-11-07T15:06:00Z</dcterms:created>
  <dcterms:modified xsi:type="dcterms:W3CDTF">2013-11-07T15:06:00Z</dcterms:modified>
</cp:coreProperties>
</file>