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A8" w:rsidRDefault="00061940" w:rsidP="00BA49A8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219"/>
        <w:gridCol w:w="810"/>
        <w:gridCol w:w="1768"/>
        <w:gridCol w:w="572"/>
        <w:gridCol w:w="2250"/>
        <w:gridCol w:w="1975"/>
      </w:tblGrid>
      <w:tr w:rsidR="00BA49A8" w:rsidTr="000648CF">
        <w:tc>
          <w:tcPr>
            <w:tcW w:w="7825" w:type="dxa"/>
            <w:gridSpan w:val="3"/>
          </w:tcPr>
          <w:p w:rsidR="00BA49A8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Monitor’s Name</w:t>
            </w:r>
            <w:r w:rsidR="0098204D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  <w:tc>
          <w:tcPr>
            <w:tcW w:w="6565" w:type="dxa"/>
            <w:gridSpan w:val="4"/>
          </w:tcPr>
          <w:p w:rsidR="00BA49A8" w:rsidRPr="0098204D" w:rsidRDefault="00BA49A8" w:rsidP="0098204D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 of Review:</w:t>
            </w:r>
            <w:r w:rsidR="0098204D">
              <w:rPr>
                <w:rFonts w:ascii="Arial" w:hAnsi="Arial" w:cs="Arial"/>
              </w:rPr>
              <w:t xml:space="preserve"> </w:t>
            </w:r>
          </w:p>
        </w:tc>
      </w:tr>
      <w:tr w:rsidR="00BA49A8" w:rsidRPr="00E81FE5" w:rsidTr="000648CF">
        <w:tc>
          <w:tcPr>
            <w:tcW w:w="7825" w:type="dxa"/>
            <w:gridSpan w:val="3"/>
          </w:tcPr>
          <w:p w:rsidR="00BA49A8" w:rsidRPr="0098204D" w:rsidRDefault="009E2F6C" w:rsidP="0098204D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District: </w:t>
            </w:r>
            <w:r w:rsidR="00BA49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5" w:type="dxa"/>
            <w:gridSpan w:val="4"/>
          </w:tcPr>
          <w:p w:rsidR="00BA49A8" w:rsidRPr="00E81FE5" w:rsidRDefault="009E2F6C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</w:tc>
      </w:tr>
      <w:tr w:rsidR="00BA49A8" w:rsidRPr="00E81FE5" w:rsidTr="000648CF">
        <w:tc>
          <w:tcPr>
            <w:tcW w:w="7015" w:type="dxa"/>
            <w:gridSpan w:val="2"/>
          </w:tcPr>
          <w:p w:rsidR="00BA49A8" w:rsidRPr="00E81FE5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Name:</w:t>
            </w:r>
          </w:p>
        </w:tc>
        <w:tc>
          <w:tcPr>
            <w:tcW w:w="3150" w:type="dxa"/>
            <w:gridSpan w:val="3"/>
          </w:tcPr>
          <w:p w:rsidR="00BA49A8" w:rsidRPr="00E81FE5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2250" w:type="dxa"/>
          </w:tcPr>
          <w:p w:rsidR="00BA49A8" w:rsidRPr="00E81FE5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1975" w:type="dxa"/>
          </w:tcPr>
          <w:p w:rsidR="00BA49A8" w:rsidRPr="00E81FE5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</w:t>
            </w:r>
          </w:p>
        </w:tc>
      </w:tr>
      <w:tr w:rsidR="00BA49A8" w:rsidRPr="00E81FE5" w:rsidTr="000648CF">
        <w:tc>
          <w:tcPr>
            <w:tcW w:w="4796" w:type="dxa"/>
          </w:tcPr>
          <w:p w:rsidR="00BA49A8" w:rsidRPr="00E81FE5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Category:</w:t>
            </w:r>
          </w:p>
        </w:tc>
        <w:tc>
          <w:tcPr>
            <w:tcW w:w="4797" w:type="dxa"/>
            <w:gridSpan w:val="3"/>
          </w:tcPr>
          <w:p w:rsidR="00BA49A8" w:rsidRPr="00E81FE5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Eligibility:</w:t>
            </w:r>
          </w:p>
        </w:tc>
        <w:tc>
          <w:tcPr>
            <w:tcW w:w="4797" w:type="dxa"/>
            <w:gridSpan w:val="3"/>
          </w:tcPr>
          <w:p w:rsidR="00BA49A8" w:rsidRPr="00E81FE5" w:rsidRDefault="00BA49A8" w:rsidP="000648C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Date:</w:t>
            </w:r>
          </w:p>
        </w:tc>
      </w:tr>
      <w:tr w:rsidR="00BA49A8" w:rsidRPr="00E81FE5" w:rsidTr="000648CF">
        <w:tc>
          <w:tcPr>
            <w:tcW w:w="14390" w:type="dxa"/>
            <w:gridSpan w:val="7"/>
          </w:tcPr>
          <w:p w:rsidR="00BA49A8" w:rsidRDefault="00BA49A8" w:rsidP="0006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Default="00BA49A8" w:rsidP="000648CF">
            <w:pPr>
              <w:rPr>
                <w:rFonts w:ascii="Arial" w:hAnsi="Arial" w:cs="Arial"/>
              </w:rPr>
            </w:pPr>
          </w:p>
          <w:p w:rsidR="00BA49A8" w:rsidRPr="00E81FE5" w:rsidRDefault="00BA49A8" w:rsidP="000648CF">
            <w:pPr>
              <w:rPr>
                <w:rFonts w:ascii="Arial" w:hAnsi="Arial" w:cs="Arial"/>
              </w:rPr>
            </w:pPr>
          </w:p>
        </w:tc>
      </w:tr>
    </w:tbl>
    <w:p w:rsidR="0034058F" w:rsidRDefault="0034058F"/>
    <w:p w:rsidR="00BA49A8" w:rsidRDefault="00BA49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BA49A8" w:rsidTr="00BA49A8">
        <w:tc>
          <w:tcPr>
            <w:tcW w:w="1615" w:type="dxa"/>
            <w:shd w:val="clear" w:color="auto" w:fill="FFD966" w:themeFill="accent4" w:themeFillTint="99"/>
          </w:tcPr>
          <w:p w:rsidR="00BA49A8" w:rsidRPr="00BA49A8" w:rsidRDefault="00BA49A8" w:rsidP="00BA4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:rsidR="00BA49A8" w:rsidRPr="00BA49A8" w:rsidRDefault="00BA49A8" w:rsidP="00BA4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:rsidR="00BA49A8" w:rsidRPr="00BA49A8" w:rsidRDefault="00BA49A8" w:rsidP="00BA4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:rsidR="00BA49A8" w:rsidRPr="00BA49A8" w:rsidRDefault="00BA49A8" w:rsidP="00BA4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:rsidR="00BA49A8" w:rsidRPr="00BA49A8" w:rsidRDefault="00BA49A8" w:rsidP="00BA4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:rsidR="00BA49A8" w:rsidRPr="00BA49A8" w:rsidRDefault="00BA49A8" w:rsidP="00BA4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BA49A8" w:rsidTr="00BA49A8">
        <w:trPr>
          <w:trHeight w:val="288"/>
        </w:trPr>
        <w:tc>
          <w:tcPr>
            <w:tcW w:w="1615" w:type="dxa"/>
            <w:vMerge w:val="restart"/>
          </w:tcPr>
          <w:p w:rsidR="00BA49A8" w:rsidRPr="00BA49A8" w:rsidRDefault="00BA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CFR-1</w:t>
            </w:r>
          </w:p>
        </w:tc>
        <w:tc>
          <w:tcPr>
            <w:tcW w:w="2250" w:type="dxa"/>
            <w:vMerge w:val="restart"/>
          </w:tcPr>
          <w:p w:rsidR="00BA49A8" w:rsidRPr="00BA49A8" w:rsidRDefault="00BA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300.303(1)(2)</w:t>
            </w:r>
          </w:p>
        </w:tc>
        <w:tc>
          <w:tcPr>
            <w:tcW w:w="3780" w:type="dxa"/>
            <w:vMerge w:val="restart"/>
          </w:tcPr>
          <w:p w:rsidR="00BA49A8" w:rsidRPr="00BA49A8" w:rsidRDefault="00BA4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public agency provide a reevaluation within the required 3 year period?</w:t>
            </w:r>
          </w:p>
        </w:tc>
        <w:tc>
          <w:tcPr>
            <w:tcW w:w="1440" w:type="dxa"/>
          </w:tcPr>
          <w:p w:rsidR="00BA49A8" w:rsidRPr="00BA49A8" w:rsidRDefault="00FC43C8" w:rsidP="00BA4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:rsidR="00BA49A8" w:rsidRPr="00FC43C8" w:rsidRDefault="00FC43C8">
            <w:pPr>
              <w:rPr>
                <w:rFonts w:ascii="Arial" w:hAnsi="Arial" w:cs="Arial"/>
                <w:sz w:val="20"/>
                <w:szCs w:val="20"/>
              </w:rPr>
            </w:pPr>
            <w:r w:rsidRPr="00FC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record shows that a reevaluation was conducted at least once every three (3) years.</w:t>
            </w:r>
          </w:p>
        </w:tc>
        <w:tc>
          <w:tcPr>
            <w:tcW w:w="2399" w:type="dxa"/>
            <w:vMerge w:val="restart"/>
          </w:tcPr>
          <w:p w:rsidR="00BA49A8" w:rsidRPr="00BA49A8" w:rsidRDefault="00FC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Determination Form</w:t>
            </w:r>
          </w:p>
        </w:tc>
      </w:tr>
      <w:tr w:rsidR="00FC43C8" w:rsidTr="00BA49A8">
        <w:trPr>
          <w:trHeight w:val="288"/>
        </w:trPr>
        <w:tc>
          <w:tcPr>
            <w:tcW w:w="1615" w:type="dxa"/>
            <w:vMerge/>
          </w:tcPr>
          <w:p w:rsid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3C8" w:rsidRPr="00BA49A8" w:rsidRDefault="00FC43C8" w:rsidP="00FC4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:rsidR="00FC43C8" w:rsidRPr="00FC43C8" w:rsidRDefault="00FC43C8" w:rsidP="00FC43C8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4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record shows that a reevaluation was not conducted within a three (3) year period.</w:t>
            </w:r>
          </w:p>
        </w:tc>
        <w:tc>
          <w:tcPr>
            <w:tcW w:w="2399" w:type="dxa"/>
            <w:vMerge/>
          </w:tcPr>
          <w:p w:rsidR="00FC43C8" w:rsidRPr="00BA49A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3C8" w:rsidTr="00FC43C8">
        <w:trPr>
          <w:trHeight w:val="482"/>
        </w:trPr>
        <w:tc>
          <w:tcPr>
            <w:tcW w:w="1615" w:type="dxa"/>
            <w:vMerge w:val="restart"/>
          </w:tcPr>
          <w:p w:rsidR="00FC43C8" w:rsidRPr="00BA49A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CFR-2</w:t>
            </w:r>
          </w:p>
        </w:tc>
        <w:tc>
          <w:tcPr>
            <w:tcW w:w="2250" w:type="dxa"/>
            <w:vMerge w:val="restart"/>
          </w:tcPr>
          <w:p w:rsid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300.304(a)</w:t>
            </w:r>
          </w:p>
          <w:p w:rsidR="00FC43C8" w:rsidRPr="00BA49A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300.305(d)(1)(i)(ii)</w:t>
            </w:r>
          </w:p>
        </w:tc>
        <w:tc>
          <w:tcPr>
            <w:tcW w:w="3780" w:type="dxa"/>
            <w:vMerge w:val="restart"/>
          </w:tcPr>
          <w:p w:rsidR="00FC43C8" w:rsidRPr="00BA49A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the public agency provide notice to the parents of a child with a disability that describes any evaluation procedures the agency proposes to conduct? </w:t>
            </w:r>
          </w:p>
        </w:tc>
        <w:tc>
          <w:tcPr>
            <w:tcW w:w="1440" w:type="dxa"/>
          </w:tcPr>
          <w:p w:rsidR="00FC43C8" w:rsidRPr="00BA49A8" w:rsidRDefault="00FC43C8" w:rsidP="00FC4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:rsidR="00FC43C8" w:rsidRPr="00FC43C8" w:rsidRDefault="00FC43C8" w:rsidP="00FC43C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C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record contains documentation that the public agency notified the child’s parents of – </w:t>
            </w:r>
          </w:p>
          <w:p w:rsidR="00FC43C8" w:rsidRDefault="00FC43C8" w:rsidP="00FC43C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C8">
              <w:rPr>
                <w:rFonts w:ascii="Arial" w:hAnsi="Arial" w:cs="Arial"/>
                <w:color w:val="000000"/>
                <w:sz w:val="20"/>
                <w:szCs w:val="20"/>
              </w:rPr>
              <w:t>That determination and the reasons for the determination</w:t>
            </w:r>
          </w:p>
          <w:p w:rsidR="00FC43C8" w:rsidRPr="00FC43C8" w:rsidRDefault="00FC43C8" w:rsidP="00FC43C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C8">
              <w:rPr>
                <w:rFonts w:ascii="Arial" w:hAnsi="Arial" w:cs="Arial"/>
                <w:color w:val="000000"/>
                <w:sz w:val="20"/>
                <w:szCs w:val="20"/>
              </w:rPr>
              <w:t>The rights of the parents to request an assessment to determine whether the child continues to be a child with a disability, and to determine the child’s educational needs</w:t>
            </w:r>
          </w:p>
        </w:tc>
        <w:tc>
          <w:tcPr>
            <w:tcW w:w="2399" w:type="dxa"/>
            <w:vMerge w:val="restart"/>
          </w:tcPr>
          <w:p w:rsidR="00FC43C8" w:rsidRDefault="00FC43C8" w:rsidP="00FC43C8">
            <w:pPr>
              <w:spacing w:before="60" w:after="60"/>
              <w:ind w:left="-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3C8">
              <w:rPr>
                <w:rFonts w:ascii="Arial" w:hAnsi="Arial" w:cs="Arial"/>
                <w:color w:val="000000" w:themeColor="text1"/>
                <w:sz w:val="20"/>
                <w:szCs w:val="20"/>
              </w:rPr>
              <w:t>Notice for Reevaluation - No Additional Assessment Requested</w:t>
            </w:r>
          </w:p>
          <w:p w:rsidR="00FC43C8" w:rsidRPr="00FC43C8" w:rsidRDefault="00FC43C8" w:rsidP="00FC43C8">
            <w:pPr>
              <w:spacing w:before="60" w:after="60"/>
              <w:ind w:left="-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C43C8" w:rsidRDefault="00FC43C8" w:rsidP="00FC43C8">
            <w:pPr>
              <w:spacing w:before="60" w:after="60"/>
              <w:ind w:left="-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3C8">
              <w:rPr>
                <w:rFonts w:ascii="Arial" w:hAnsi="Arial" w:cs="Arial"/>
                <w:color w:val="000000" w:themeColor="text1"/>
                <w:sz w:val="20"/>
                <w:szCs w:val="20"/>
              </w:rPr>
              <w:t>Notice for Reevaluation – Additional Assessment Requested</w:t>
            </w:r>
          </w:p>
          <w:p w:rsidR="00B951BF" w:rsidRDefault="00B951BF" w:rsidP="00FC43C8">
            <w:pPr>
              <w:spacing w:before="60" w:after="60"/>
              <w:ind w:left="-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951BF" w:rsidRPr="00FC43C8" w:rsidRDefault="00B951BF" w:rsidP="00FC43C8">
            <w:pPr>
              <w:spacing w:before="60" w:after="60"/>
              <w:ind w:left="-9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Prior Written Notice</w:t>
            </w:r>
          </w:p>
          <w:p w:rsidR="00FC43C8" w:rsidRP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3C8" w:rsidTr="00BA49A8">
        <w:trPr>
          <w:trHeight w:val="482"/>
        </w:trPr>
        <w:tc>
          <w:tcPr>
            <w:tcW w:w="1615" w:type="dxa"/>
            <w:vMerge/>
          </w:tcPr>
          <w:p w:rsid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3C8" w:rsidRPr="00BA49A8" w:rsidRDefault="00FC43C8" w:rsidP="00FC4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:rsidR="00FC43C8" w:rsidRPr="00FC43C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  <w:r w:rsidRPr="00FC43C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record </w:t>
            </w:r>
            <w:r w:rsidRPr="00B951BF">
              <w:rPr>
                <w:rFonts w:ascii="Arial" w:hAnsi="Arial" w:cs="Arial"/>
                <w:color w:val="000000"/>
                <w:sz w:val="20"/>
                <w:szCs w:val="20"/>
              </w:rPr>
              <w:t>does not</w:t>
            </w:r>
            <w:r w:rsidRPr="00FC43C8">
              <w:rPr>
                <w:rFonts w:ascii="Arial" w:hAnsi="Arial" w:cs="Arial"/>
                <w:color w:val="000000"/>
                <w:sz w:val="20"/>
                <w:szCs w:val="20"/>
              </w:rPr>
              <w:t xml:space="preserve"> show that the parent was notified in writing about the IEP/MET committee’s decision.</w:t>
            </w:r>
          </w:p>
        </w:tc>
        <w:tc>
          <w:tcPr>
            <w:tcW w:w="2399" w:type="dxa"/>
            <w:vMerge/>
          </w:tcPr>
          <w:p w:rsidR="00FC43C8" w:rsidRPr="00BA49A8" w:rsidRDefault="00FC43C8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9A8" w:rsidRDefault="00BA49A8"/>
    <w:p w:rsidR="00B951BF" w:rsidRDefault="00B95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BA49A8" w:rsidRPr="00BA49A8" w:rsidTr="000648CF">
        <w:tc>
          <w:tcPr>
            <w:tcW w:w="1615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CD507F" w:rsidRPr="00BA49A8" w:rsidTr="00FC43C8">
        <w:trPr>
          <w:trHeight w:val="576"/>
        </w:trPr>
        <w:tc>
          <w:tcPr>
            <w:tcW w:w="1615" w:type="dxa"/>
            <w:vMerge w:val="restart"/>
          </w:tcPr>
          <w:p w:rsidR="00CD507F" w:rsidRPr="00BA49A8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CFR-3</w:t>
            </w:r>
          </w:p>
        </w:tc>
        <w:tc>
          <w:tcPr>
            <w:tcW w:w="2250" w:type="dxa"/>
            <w:vMerge w:val="restart"/>
          </w:tcPr>
          <w:p w:rsidR="00CD507F" w:rsidRPr="00BA49A8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300.305(e)(1)</w:t>
            </w:r>
          </w:p>
        </w:tc>
        <w:tc>
          <w:tcPr>
            <w:tcW w:w="3780" w:type="dxa"/>
            <w:vMerge w:val="restart"/>
          </w:tcPr>
          <w:p w:rsidR="00CD507F" w:rsidRPr="00FC43C8" w:rsidRDefault="00CD507F" w:rsidP="00FC43C8">
            <w:pPr>
              <w:rPr>
                <w:rFonts w:ascii="Arial" w:hAnsi="Arial" w:cs="Arial"/>
                <w:sz w:val="20"/>
                <w:szCs w:val="20"/>
              </w:rPr>
            </w:pPr>
            <w:r w:rsidRPr="00FC43C8">
              <w:rPr>
                <w:rFonts w:ascii="Arial" w:hAnsi="Arial" w:cs="Arial"/>
                <w:sz w:val="20"/>
                <w:szCs w:val="20"/>
              </w:rPr>
              <w:t>Did the public agency conduct a reevaluation before determining that the child no longer is a child with a disability and/or continues to need special education services?</w:t>
            </w:r>
          </w:p>
          <w:p w:rsidR="00CD507F" w:rsidRPr="00BA49A8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07F" w:rsidRPr="00BA49A8" w:rsidRDefault="00CD507F" w:rsidP="00FC4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:rsidR="00CD507F" w:rsidRPr="00CD507F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>The record shows that the public agency conducted a reevaluation before determining that the child no longer a child with a disability and in need of special education services.</w:t>
            </w:r>
          </w:p>
        </w:tc>
        <w:tc>
          <w:tcPr>
            <w:tcW w:w="2399" w:type="dxa"/>
            <w:vMerge w:val="restart"/>
          </w:tcPr>
          <w:p w:rsidR="00CD507F" w:rsidRPr="00CD507F" w:rsidRDefault="00CD507F" w:rsidP="00CD507F">
            <w:pPr>
              <w:pStyle w:val="List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 xml:space="preserve">Child Find procedures    </w:t>
            </w:r>
          </w:p>
          <w:p w:rsidR="00CD507F" w:rsidRPr="00CD507F" w:rsidRDefault="00CD507F" w:rsidP="00CD507F">
            <w:pPr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 xml:space="preserve"> (procedures manual)</w:t>
            </w:r>
          </w:p>
          <w:p w:rsidR="00CD507F" w:rsidRPr="00CD507F" w:rsidRDefault="00CD507F" w:rsidP="00CD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07F" w:rsidRPr="00CD507F" w:rsidRDefault="00CD507F" w:rsidP="00CD50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>MET referral forms</w:t>
            </w:r>
          </w:p>
          <w:p w:rsidR="00CD507F" w:rsidRPr="00CD507F" w:rsidRDefault="00CD507F" w:rsidP="00CD50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507F" w:rsidRPr="00CD507F" w:rsidRDefault="00CD507F" w:rsidP="00CD507F">
            <w:pPr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 xml:space="preserve">MET meeting   </w:t>
            </w:r>
          </w:p>
          <w:p w:rsidR="00CD507F" w:rsidRPr="00CD507F" w:rsidRDefault="00CD507F" w:rsidP="00CD507F">
            <w:pPr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>documentation forms</w:t>
            </w:r>
          </w:p>
          <w:p w:rsidR="00CD507F" w:rsidRPr="00CD507F" w:rsidRDefault="00CD507F" w:rsidP="00CD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07F" w:rsidRDefault="00CD507F" w:rsidP="00CD507F">
            <w:pPr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>Eligibility Determination form</w:t>
            </w:r>
          </w:p>
          <w:p w:rsidR="00B951BF" w:rsidRDefault="00B951BF" w:rsidP="00CD5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1BF" w:rsidRPr="00CD507F" w:rsidRDefault="00B951BF" w:rsidP="00CD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Written Notice</w:t>
            </w:r>
          </w:p>
        </w:tc>
      </w:tr>
      <w:tr w:rsidR="00CD507F" w:rsidRPr="00BA49A8" w:rsidTr="00CD507F">
        <w:trPr>
          <w:trHeight w:val="1572"/>
        </w:trPr>
        <w:tc>
          <w:tcPr>
            <w:tcW w:w="1615" w:type="dxa"/>
            <w:vMerge/>
          </w:tcPr>
          <w:p w:rsidR="00CD507F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D507F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D507F" w:rsidRPr="00FC43C8" w:rsidRDefault="00CD507F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07F" w:rsidRPr="00BA49A8" w:rsidRDefault="00CD507F" w:rsidP="00FC4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:rsidR="00CD507F" w:rsidRPr="00CD507F" w:rsidRDefault="00CD507F" w:rsidP="00CD507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 xml:space="preserve">There is no documentation to show that a reevaluation was conducted to determine the child is no longer a child with a disability. </w:t>
            </w:r>
          </w:p>
          <w:p w:rsidR="00CD507F" w:rsidRPr="00CD507F" w:rsidRDefault="00CD507F" w:rsidP="00CD507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>(i.e., the child no longer receives L/S services on the current IEP, but no documentation is available to prove the child has been dismissed from these services.)</w:t>
            </w:r>
          </w:p>
          <w:p w:rsidR="00CD507F" w:rsidRPr="00CD507F" w:rsidRDefault="00CD507F" w:rsidP="00CD507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D507F" w:rsidRPr="00CD507F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CD507F" w:rsidRPr="00BA49A8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07F" w:rsidRPr="00BA49A8" w:rsidTr="000648CF">
        <w:trPr>
          <w:trHeight w:val="1571"/>
        </w:trPr>
        <w:tc>
          <w:tcPr>
            <w:tcW w:w="1615" w:type="dxa"/>
            <w:vMerge/>
          </w:tcPr>
          <w:p w:rsidR="00CD507F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CD507F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D507F" w:rsidRPr="00FC43C8" w:rsidRDefault="00CD507F" w:rsidP="00FC4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D507F" w:rsidRDefault="00CD507F" w:rsidP="00FC4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06" w:type="dxa"/>
          </w:tcPr>
          <w:p w:rsidR="00CD507F" w:rsidRPr="00CD507F" w:rsidRDefault="00CD507F" w:rsidP="00CD507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507F">
              <w:rPr>
                <w:rFonts w:ascii="Arial" w:hAnsi="Arial" w:cs="Arial"/>
                <w:sz w:val="20"/>
                <w:szCs w:val="20"/>
              </w:rPr>
              <w:t xml:space="preserve">The child has not had a change in services and continues to be a child with a disability. </w:t>
            </w:r>
          </w:p>
        </w:tc>
        <w:tc>
          <w:tcPr>
            <w:tcW w:w="2399" w:type="dxa"/>
            <w:vMerge/>
          </w:tcPr>
          <w:p w:rsidR="00CD507F" w:rsidRPr="00BA49A8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9A8" w:rsidRDefault="00BA49A8"/>
    <w:p w:rsidR="00BA49A8" w:rsidRDefault="00BA49A8"/>
    <w:p w:rsidR="00BA49A8" w:rsidRDefault="00BA49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BA49A8" w:rsidRPr="00BA49A8" w:rsidTr="000648CF">
        <w:tc>
          <w:tcPr>
            <w:tcW w:w="1615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:rsidR="00BA49A8" w:rsidRPr="00BA49A8" w:rsidRDefault="00BA49A8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FC43C8" w:rsidRPr="00BA49A8" w:rsidTr="00FC43C8">
        <w:trPr>
          <w:trHeight w:val="94"/>
        </w:trPr>
        <w:tc>
          <w:tcPr>
            <w:tcW w:w="1615" w:type="dxa"/>
            <w:vMerge w:val="restart"/>
          </w:tcPr>
          <w:p w:rsidR="00FC43C8" w:rsidRPr="00BA49A8" w:rsidRDefault="00CD507F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CFR-4</w:t>
            </w:r>
          </w:p>
        </w:tc>
        <w:tc>
          <w:tcPr>
            <w:tcW w:w="2250" w:type="dxa"/>
            <w:vMerge w:val="restart"/>
          </w:tcPr>
          <w:p w:rsidR="00CD507F" w:rsidRDefault="00AE2918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300.305(a)</w:t>
            </w:r>
          </w:p>
          <w:p w:rsidR="00AE2918" w:rsidRPr="00BA49A8" w:rsidRDefault="00AE2918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300.306(a)(1)</w:t>
            </w:r>
          </w:p>
        </w:tc>
        <w:tc>
          <w:tcPr>
            <w:tcW w:w="3780" w:type="dxa"/>
            <w:vMerge w:val="restart"/>
          </w:tcPr>
          <w:p w:rsidR="00FC43C8" w:rsidRDefault="00AE2918" w:rsidP="00AE2918">
            <w:pPr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>Did the public agency invite parents and others with knowledge of the child to participate in the IEP Committee meeting to review existing e</w:t>
            </w:r>
            <w:r>
              <w:rPr>
                <w:rFonts w:ascii="Arial" w:hAnsi="Arial" w:cs="Arial"/>
                <w:sz w:val="20"/>
                <w:szCs w:val="20"/>
              </w:rPr>
              <w:t xml:space="preserve">valuation data to determine the need </w:t>
            </w:r>
            <w:r w:rsidR="0023403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or comprehensive evaluation?  </w:t>
            </w:r>
          </w:p>
          <w:p w:rsidR="00AE2918" w:rsidRDefault="00AE2918" w:rsidP="00AE2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918" w:rsidRPr="00AE2918" w:rsidRDefault="00AE2918" w:rsidP="00AE2918">
            <w:pPr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>MET/IEP Team members may participate by (1) Being present at the meeting;</w:t>
            </w:r>
            <w:r w:rsidR="00664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918">
              <w:rPr>
                <w:rFonts w:ascii="Arial" w:hAnsi="Arial" w:cs="Arial"/>
                <w:sz w:val="20"/>
                <w:szCs w:val="20"/>
              </w:rPr>
              <w:t>(2) Using an alternate technology (e.g., phone conference); or</w:t>
            </w:r>
          </w:p>
          <w:p w:rsidR="00AE2918" w:rsidRPr="00AE2918" w:rsidRDefault="00AE2918" w:rsidP="00AE2918">
            <w:pPr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>(3) Submitting written information or opinions.</w:t>
            </w:r>
          </w:p>
          <w:p w:rsidR="00AE2918" w:rsidRPr="00AE2918" w:rsidRDefault="00AE2918" w:rsidP="00AE2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3C8" w:rsidRPr="00BA49A8" w:rsidRDefault="00AE2918" w:rsidP="00AE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:rsidR="00AE2918" w:rsidRP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>All of the appropriate members, including parents and others knowledgeable of the child, are invited to participate in the MET meetings using available methods.</w:t>
            </w:r>
          </w:p>
          <w:p w:rsidR="00AE2918" w:rsidRP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C43C8" w:rsidRPr="00AE2918" w:rsidRDefault="00AE2918" w:rsidP="00AE2918">
            <w:pPr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>All appropriate members participate in the MET meetings using available methods.</w:t>
            </w:r>
          </w:p>
        </w:tc>
        <w:tc>
          <w:tcPr>
            <w:tcW w:w="2399" w:type="dxa"/>
            <w:vMerge w:val="restart"/>
          </w:tcPr>
          <w:p w:rsidR="00AE2918" w:rsidRP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Documentation of MET    </w:t>
            </w:r>
          </w:p>
          <w:p w:rsid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referrals with dates</w:t>
            </w:r>
          </w:p>
          <w:p w:rsidR="00AE2918" w:rsidRP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E2918" w:rsidRP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Documentation of   </w:t>
            </w:r>
          </w:p>
          <w:p w:rsidR="00AE2918" w:rsidRP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invitations to MET </w:t>
            </w:r>
          </w:p>
          <w:p w:rsid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meetings </w:t>
            </w:r>
          </w:p>
          <w:p w:rsid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E2918" w:rsidRPr="00AE2918" w:rsidRDefault="00AE2918" w:rsidP="00AE291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Records of MET </w:t>
            </w:r>
          </w:p>
          <w:p w:rsidR="00AE2918" w:rsidRPr="00AE2918" w:rsidRDefault="00AE2918" w:rsidP="00AE291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meetings with dates </w:t>
            </w:r>
          </w:p>
          <w:p w:rsidR="00AE2918" w:rsidRPr="00AE2918" w:rsidRDefault="00AE2918" w:rsidP="00AE2918">
            <w:pPr>
              <w:pStyle w:val="ListParagraph"/>
              <w:ind w:left="18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E2918">
              <w:rPr>
                <w:rFonts w:ascii="Arial" w:hAnsi="Arial" w:cs="Arial"/>
                <w:sz w:val="20"/>
                <w:szCs w:val="20"/>
              </w:rPr>
              <w:t xml:space="preserve">of the meetings and </w:t>
            </w:r>
          </w:p>
          <w:p w:rsid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list of participants </w:t>
            </w:r>
          </w:p>
          <w:p w:rsidR="00AE2918" w:rsidRPr="00AE291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C43C8" w:rsidRDefault="00AE2918" w:rsidP="00AE2918">
            <w:pPr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IEP Review/Revision    section of members   present  </w:t>
            </w:r>
          </w:p>
          <w:p w:rsidR="00B951BF" w:rsidRDefault="00B951BF" w:rsidP="00AE2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1BF" w:rsidRPr="00AE2918" w:rsidRDefault="00B951BF" w:rsidP="00AE2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Written Notice</w:t>
            </w:r>
          </w:p>
        </w:tc>
      </w:tr>
      <w:tr w:rsidR="00FC43C8" w:rsidRPr="00BA49A8" w:rsidTr="000648CF">
        <w:trPr>
          <w:trHeight w:val="94"/>
        </w:trPr>
        <w:tc>
          <w:tcPr>
            <w:tcW w:w="1615" w:type="dxa"/>
            <w:vMerge/>
          </w:tcPr>
          <w:p w:rsidR="00FC43C8" w:rsidRPr="00BA49A8" w:rsidRDefault="00FC43C8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FC43C8" w:rsidRPr="00BA49A8" w:rsidRDefault="00FC43C8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C43C8" w:rsidRPr="00BA49A8" w:rsidRDefault="00FC43C8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3C8" w:rsidRPr="00BA49A8" w:rsidRDefault="00AE2918" w:rsidP="00AE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:rsidR="00FC43C8" w:rsidRPr="00BA49A8" w:rsidRDefault="00AE2918" w:rsidP="00AE29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2918">
              <w:rPr>
                <w:rFonts w:ascii="Arial" w:hAnsi="Arial" w:cs="Arial"/>
                <w:sz w:val="20"/>
                <w:szCs w:val="20"/>
              </w:rPr>
              <w:t xml:space="preserve">All of the appropriate members, including parents and others knowledgeable of the child, </w:t>
            </w:r>
            <w:r w:rsidRPr="00B951BF">
              <w:rPr>
                <w:rFonts w:ascii="Arial" w:hAnsi="Arial" w:cs="Arial"/>
                <w:sz w:val="20"/>
                <w:szCs w:val="20"/>
              </w:rPr>
              <w:t>were not</w:t>
            </w:r>
            <w:r w:rsidRPr="00AE2918">
              <w:rPr>
                <w:rFonts w:ascii="Arial" w:hAnsi="Arial" w:cs="Arial"/>
                <w:sz w:val="20"/>
                <w:szCs w:val="20"/>
              </w:rPr>
              <w:t xml:space="preserve"> invited to participate in the MET meetings using available methods.</w:t>
            </w:r>
          </w:p>
        </w:tc>
        <w:tc>
          <w:tcPr>
            <w:tcW w:w="2399" w:type="dxa"/>
            <w:vMerge/>
          </w:tcPr>
          <w:p w:rsidR="00FC43C8" w:rsidRPr="00BA49A8" w:rsidRDefault="00FC43C8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9A8" w:rsidRDefault="00BA49A8"/>
    <w:p w:rsidR="00BA49A8" w:rsidRDefault="00BA49A8"/>
    <w:p w:rsidR="00BA49A8" w:rsidRDefault="00BA49A8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CD507F" w:rsidRPr="00BA49A8" w:rsidTr="000648CF">
        <w:tc>
          <w:tcPr>
            <w:tcW w:w="1615" w:type="dxa"/>
            <w:shd w:val="clear" w:color="auto" w:fill="FFD966" w:themeFill="accent4" w:themeFillTint="99"/>
          </w:tcPr>
          <w:p w:rsidR="00CD507F" w:rsidRPr="00BA49A8" w:rsidRDefault="00CD507F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:rsidR="00CD507F" w:rsidRPr="00BA49A8" w:rsidRDefault="00CD507F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:rsidR="00CD507F" w:rsidRPr="00BA49A8" w:rsidRDefault="00CD507F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:rsidR="00CD507F" w:rsidRPr="00BA49A8" w:rsidRDefault="00CD507F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:rsidR="00CD507F" w:rsidRPr="00BA49A8" w:rsidRDefault="00CD507F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:rsidR="00CD507F" w:rsidRPr="00BA49A8" w:rsidRDefault="00CD507F" w:rsidP="00064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061940" w:rsidRPr="00BA49A8" w:rsidTr="000648CF">
        <w:trPr>
          <w:trHeight w:val="94"/>
        </w:trPr>
        <w:tc>
          <w:tcPr>
            <w:tcW w:w="1615" w:type="dxa"/>
            <w:vMerge w:val="restart"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CFR-5</w:t>
            </w:r>
          </w:p>
        </w:tc>
        <w:tc>
          <w:tcPr>
            <w:tcW w:w="2250" w:type="dxa"/>
            <w:vMerge w:val="restart"/>
          </w:tcPr>
          <w:p w:rsidR="00061940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SBP</w:t>
            </w:r>
          </w:p>
          <w:p w:rsidR="00061940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300.303(a)</w:t>
            </w:r>
          </w:p>
          <w:p w:rsidR="00061940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300.304</w:t>
            </w:r>
          </w:p>
          <w:p w:rsidR="00061940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300.305</w:t>
            </w:r>
          </w:p>
          <w:p w:rsidR="00061940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300.306</w:t>
            </w:r>
          </w:p>
          <w:p w:rsidR="00061940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Education Eligibility Determination Guidelines pp. 303-305</w:t>
            </w:r>
          </w:p>
        </w:tc>
        <w:tc>
          <w:tcPr>
            <w:tcW w:w="3780" w:type="dxa"/>
            <w:vMerge w:val="restart"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child was initially determined to be eligible with a ruling of Developmentally Delayed (DD), did the public agency conduct a reevaluation prior to the child’s 10</w:t>
            </w:r>
            <w:r w:rsidRPr="0006194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birthday? </w:t>
            </w:r>
          </w:p>
        </w:tc>
        <w:tc>
          <w:tcPr>
            <w:tcW w:w="1440" w:type="dxa"/>
          </w:tcPr>
          <w:p w:rsidR="00061940" w:rsidRPr="00BA49A8" w:rsidRDefault="00061940" w:rsidP="00061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evidence that a comprehensive reevaluation was conducted prior to the child’s 10</w:t>
            </w:r>
            <w:r w:rsidRPr="0006194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 and a new eligibility other than Developmental Delay (DD) was in place by that date. </w:t>
            </w:r>
          </w:p>
        </w:tc>
        <w:tc>
          <w:tcPr>
            <w:tcW w:w="2399" w:type="dxa"/>
            <w:vMerge w:val="restart"/>
          </w:tcPr>
          <w:p w:rsidR="00061940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Determination Report</w:t>
            </w:r>
          </w:p>
          <w:p w:rsidR="009F6A2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2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MSIS Screen</w:t>
            </w:r>
          </w:p>
          <w:p w:rsidR="009F6A2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2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Review/Revision Dates</w:t>
            </w:r>
          </w:p>
          <w:p w:rsidR="009F6A2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2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MET/IEP Documentation</w:t>
            </w:r>
          </w:p>
          <w:p w:rsidR="009F6A2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A28" w:rsidRPr="00BA49A8" w:rsidRDefault="009F6A28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Comprehensive Reevaluation Reports </w:t>
            </w:r>
          </w:p>
        </w:tc>
      </w:tr>
      <w:tr w:rsidR="00061940" w:rsidRPr="00BA49A8" w:rsidTr="00061940">
        <w:trPr>
          <w:trHeight w:val="958"/>
        </w:trPr>
        <w:tc>
          <w:tcPr>
            <w:tcW w:w="1615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1940" w:rsidRPr="00BA49A8" w:rsidRDefault="00061940" w:rsidP="00061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:rsidR="00061940" w:rsidRPr="00061940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evident that a comprehensive reevaluation was </w:t>
            </w:r>
            <w:r w:rsidRPr="00B951BF"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completed prior to the child’s 10</w:t>
            </w:r>
            <w:r w:rsidRPr="0006194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 and a new eligibility other than Developmental Delay (DD) was not in place by that date. </w:t>
            </w:r>
          </w:p>
        </w:tc>
        <w:tc>
          <w:tcPr>
            <w:tcW w:w="2399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0" w:rsidRPr="00BA49A8" w:rsidTr="000648CF">
        <w:trPr>
          <w:trHeight w:val="958"/>
        </w:trPr>
        <w:tc>
          <w:tcPr>
            <w:tcW w:w="1615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1940" w:rsidRPr="00BA49A8" w:rsidRDefault="00061940" w:rsidP="00061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06" w:type="dxa"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child’s original eligibility was not Developmental Delay (DD)</w:t>
            </w:r>
            <w:r w:rsidR="00B91056">
              <w:rPr>
                <w:rFonts w:ascii="Arial" w:hAnsi="Arial" w:cs="Arial"/>
                <w:sz w:val="20"/>
                <w:szCs w:val="20"/>
              </w:rPr>
              <w:t xml:space="preserve"> or the child has not reached his/her 10</w:t>
            </w:r>
            <w:r w:rsidR="00B91056" w:rsidRPr="00B910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91056">
              <w:rPr>
                <w:rFonts w:ascii="Arial" w:hAnsi="Arial" w:cs="Arial"/>
                <w:sz w:val="20"/>
                <w:szCs w:val="20"/>
              </w:rPr>
              <w:t xml:space="preserve"> birthday. </w:t>
            </w:r>
          </w:p>
        </w:tc>
        <w:tc>
          <w:tcPr>
            <w:tcW w:w="2399" w:type="dxa"/>
            <w:vMerge/>
          </w:tcPr>
          <w:p w:rsidR="00061940" w:rsidRPr="00BA49A8" w:rsidRDefault="00061940" w:rsidP="00064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07F" w:rsidRDefault="00CD507F"/>
    <w:p w:rsidR="0098204D" w:rsidRDefault="0098204D"/>
    <w:p w:rsidR="0098204D" w:rsidRDefault="0098204D"/>
    <w:p w:rsidR="0098204D" w:rsidRDefault="0098204D"/>
    <w:p w:rsidR="0098204D" w:rsidRDefault="0098204D"/>
    <w:p w:rsidR="0098204D" w:rsidRDefault="0098204D"/>
    <w:p w:rsidR="0098204D" w:rsidRDefault="0098204D"/>
    <w:p w:rsidR="0098204D" w:rsidRDefault="0098204D"/>
    <w:p w:rsidR="0098204D" w:rsidRDefault="0098204D"/>
    <w:p w:rsidR="0098204D" w:rsidRDefault="0098204D">
      <w:pPr>
        <w:rPr>
          <w:b/>
        </w:rPr>
      </w:pPr>
      <w:r>
        <w:rPr>
          <w:b/>
        </w:rPr>
        <w:t>ADDITIONAL NOTES: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8204D" w:rsidTr="00982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  <w:tr w:rsidR="0098204D" w:rsidTr="0098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98204D" w:rsidRPr="0098204D" w:rsidRDefault="0098204D">
            <w:pPr>
              <w:rPr>
                <w:b w:val="0"/>
                <w:sz w:val="40"/>
                <w:szCs w:val="40"/>
              </w:rPr>
            </w:pPr>
          </w:p>
        </w:tc>
      </w:tr>
    </w:tbl>
    <w:p w:rsidR="0098204D" w:rsidRPr="0098204D" w:rsidRDefault="0098204D">
      <w:pPr>
        <w:rPr>
          <w:b/>
        </w:rPr>
      </w:pPr>
    </w:p>
    <w:sectPr w:rsidR="0098204D" w:rsidRPr="0098204D" w:rsidSect="00BA49A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A8" w:rsidRDefault="00BA49A8" w:rsidP="00BA49A8">
      <w:pPr>
        <w:spacing w:after="0" w:line="240" w:lineRule="auto"/>
      </w:pPr>
      <w:r>
        <w:separator/>
      </w:r>
    </w:p>
  </w:endnote>
  <w:endnote w:type="continuationSeparator" w:id="0">
    <w:p w:rsidR="00BA49A8" w:rsidRDefault="00BA49A8" w:rsidP="00B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724027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49A8" w:rsidRPr="00B951BF" w:rsidRDefault="00BA49A8" w:rsidP="00BA49A8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BF">
              <w:rPr>
                <w:rFonts w:ascii="Arial" w:hAnsi="Arial" w:cs="Arial"/>
                <w:sz w:val="20"/>
                <w:szCs w:val="20"/>
              </w:rPr>
              <w:t xml:space="preserve">Revised October 2018                                                    Child Find-Reevaluations                                                              Page </w:t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204D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951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204D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B951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49A8" w:rsidRPr="00B951BF" w:rsidRDefault="00BA49A8" w:rsidP="00BA49A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A8" w:rsidRDefault="00BA49A8" w:rsidP="00BA49A8">
      <w:pPr>
        <w:spacing w:after="0" w:line="240" w:lineRule="auto"/>
      </w:pPr>
      <w:r>
        <w:separator/>
      </w:r>
    </w:p>
  </w:footnote>
  <w:footnote w:type="continuationSeparator" w:id="0">
    <w:p w:rsidR="00BA49A8" w:rsidRDefault="00BA49A8" w:rsidP="00BA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A8" w:rsidRPr="00BA49A8" w:rsidRDefault="00BA49A8" w:rsidP="00BA49A8">
    <w:pPr>
      <w:pStyle w:val="Header"/>
      <w:jc w:val="center"/>
      <w:rPr>
        <w:rFonts w:ascii="Arial" w:hAnsi="Arial" w:cs="Arial"/>
        <w:b/>
        <w:sz w:val="24"/>
        <w:szCs w:val="24"/>
      </w:rPr>
    </w:pPr>
    <w:r w:rsidRPr="00BA49A8">
      <w:rPr>
        <w:rFonts w:ascii="Arial" w:hAnsi="Arial" w:cs="Arial"/>
        <w:b/>
        <w:sz w:val="24"/>
        <w:szCs w:val="24"/>
      </w:rPr>
      <w:t>MISSISSIPPI DEPARTMENT OF EDUCATION –OFFICE OF SPECIAL EDUCATION</w:t>
    </w:r>
  </w:p>
  <w:p w:rsidR="00BA49A8" w:rsidRPr="00BA49A8" w:rsidRDefault="00BA49A8" w:rsidP="00BA49A8">
    <w:pPr>
      <w:pStyle w:val="Header"/>
      <w:jc w:val="center"/>
      <w:rPr>
        <w:rFonts w:ascii="Arial" w:hAnsi="Arial" w:cs="Arial"/>
        <w:b/>
        <w:sz w:val="24"/>
        <w:szCs w:val="24"/>
      </w:rPr>
    </w:pPr>
    <w:r w:rsidRPr="00BA49A8">
      <w:rPr>
        <w:rFonts w:ascii="Arial" w:hAnsi="Arial" w:cs="Arial"/>
        <w:b/>
        <w:sz w:val="24"/>
        <w:szCs w:val="24"/>
      </w:rPr>
      <w:t>ACCOUNTABILITY STANDARD 17.4</w:t>
    </w:r>
  </w:p>
  <w:p w:rsidR="00BA49A8" w:rsidRPr="00BA49A8" w:rsidRDefault="00BA49A8" w:rsidP="00BA49A8">
    <w:pPr>
      <w:pStyle w:val="Header"/>
      <w:jc w:val="center"/>
      <w:rPr>
        <w:rFonts w:ascii="Arial" w:hAnsi="Arial" w:cs="Arial"/>
        <w:b/>
        <w:sz w:val="24"/>
        <w:szCs w:val="24"/>
      </w:rPr>
    </w:pPr>
    <w:r w:rsidRPr="00BA49A8">
      <w:rPr>
        <w:rFonts w:ascii="Arial" w:hAnsi="Arial" w:cs="Arial"/>
        <w:b/>
        <w:sz w:val="24"/>
        <w:szCs w:val="24"/>
      </w:rPr>
      <w:t>RULE 74.19</w:t>
    </w:r>
  </w:p>
  <w:p w:rsidR="00BA49A8" w:rsidRPr="00BA49A8" w:rsidRDefault="00BA49A8" w:rsidP="00BA49A8">
    <w:pPr>
      <w:pStyle w:val="Header"/>
      <w:jc w:val="center"/>
      <w:rPr>
        <w:rFonts w:ascii="Arial" w:hAnsi="Arial" w:cs="Arial"/>
        <w:b/>
        <w:sz w:val="24"/>
        <w:szCs w:val="24"/>
      </w:rPr>
    </w:pPr>
    <w:r w:rsidRPr="00BA49A8">
      <w:rPr>
        <w:rFonts w:ascii="Arial" w:hAnsi="Arial" w:cs="Arial"/>
        <w:b/>
        <w:sz w:val="24"/>
        <w:szCs w:val="24"/>
      </w:rPr>
      <w:t>ON-SITE MONITORING RECORD REVIEW FORM</w:t>
    </w:r>
  </w:p>
  <w:p w:rsidR="00BA49A8" w:rsidRDefault="00BA49A8" w:rsidP="00BA49A8">
    <w:pPr>
      <w:pStyle w:val="Header"/>
      <w:jc w:val="center"/>
      <w:rPr>
        <w:rFonts w:ascii="Arial" w:hAnsi="Arial" w:cs="Arial"/>
        <w:b/>
        <w:sz w:val="24"/>
        <w:szCs w:val="24"/>
      </w:rPr>
    </w:pPr>
    <w:r w:rsidRPr="00BA49A8">
      <w:rPr>
        <w:rFonts w:ascii="Arial" w:hAnsi="Arial" w:cs="Arial"/>
        <w:b/>
        <w:sz w:val="24"/>
        <w:szCs w:val="24"/>
      </w:rPr>
      <w:t>CHILD FIND – REEVALUATIONS ONLY</w:t>
    </w:r>
  </w:p>
  <w:p w:rsidR="00BA49A8" w:rsidRDefault="00BA4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7E1"/>
    <w:multiLevelType w:val="hybridMultilevel"/>
    <w:tmpl w:val="91B09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4008"/>
    <w:multiLevelType w:val="hybridMultilevel"/>
    <w:tmpl w:val="8AF0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A8"/>
    <w:rsid w:val="00061940"/>
    <w:rsid w:val="00234030"/>
    <w:rsid w:val="0034058F"/>
    <w:rsid w:val="0066481B"/>
    <w:rsid w:val="0098204D"/>
    <w:rsid w:val="009E2F6C"/>
    <w:rsid w:val="009F6A28"/>
    <w:rsid w:val="00AE2918"/>
    <w:rsid w:val="00B91056"/>
    <w:rsid w:val="00B951BF"/>
    <w:rsid w:val="00BA49A8"/>
    <w:rsid w:val="00CD507F"/>
    <w:rsid w:val="00D036EA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97E8E9F-344E-4010-A232-7F0A89E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A8"/>
  </w:style>
  <w:style w:type="paragraph" w:styleId="Footer">
    <w:name w:val="footer"/>
    <w:basedOn w:val="Normal"/>
    <w:link w:val="FooterChar"/>
    <w:uiPriority w:val="99"/>
    <w:unhideWhenUsed/>
    <w:rsid w:val="00BA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A8"/>
  </w:style>
  <w:style w:type="paragraph" w:styleId="ListParagraph">
    <w:name w:val="List Paragraph"/>
    <w:basedOn w:val="Normal"/>
    <w:uiPriority w:val="34"/>
    <w:qFormat/>
    <w:rsid w:val="00BA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A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9820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CA75-A950-494B-A4A1-A5C0EC9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Hunter</dc:creator>
  <cp:keywords/>
  <dc:description/>
  <cp:lastModifiedBy>Alice Hunter</cp:lastModifiedBy>
  <cp:revision>8</cp:revision>
  <cp:lastPrinted>2019-03-19T16:03:00Z</cp:lastPrinted>
  <dcterms:created xsi:type="dcterms:W3CDTF">2018-10-15T20:26:00Z</dcterms:created>
  <dcterms:modified xsi:type="dcterms:W3CDTF">2019-03-19T16:04:00Z</dcterms:modified>
</cp:coreProperties>
</file>